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9C" w:rsidRDefault="00B5067A" w:rsidP="009B29BC">
      <w:pPr>
        <w:jc w:val="center"/>
      </w:pPr>
      <w:r>
        <w:rPr>
          <w:noProof/>
        </w:rPr>
        <w:drawing>
          <wp:inline distT="0" distB="0" distL="0" distR="0">
            <wp:extent cx="436245" cy="723265"/>
            <wp:effectExtent l="19050" t="0" r="1905" b="0"/>
            <wp:docPr id="1" name="Рисунок 1" descr="mlvs-m-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vs-m-sch"/>
                    <pic:cNvPicPr>
                      <a:picLocks noChangeAspect="1" noChangeArrowheads="1"/>
                    </pic:cNvPicPr>
                  </pic:nvPicPr>
                  <pic:blipFill>
                    <a:blip r:embed="rId8" cstate="print"/>
                    <a:srcRect/>
                    <a:stretch>
                      <a:fillRect/>
                    </a:stretch>
                  </pic:blipFill>
                  <pic:spPr bwMode="auto">
                    <a:xfrm>
                      <a:off x="0" y="0"/>
                      <a:ext cx="436245" cy="723265"/>
                    </a:xfrm>
                    <a:prstGeom prst="rect">
                      <a:avLst/>
                    </a:prstGeom>
                    <a:noFill/>
                    <a:ln w="9525">
                      <a:noFill/>
                      <a:miter lim="800000"/>
                      <a:headEnd/>
                      <a:tailEnd/>
                    </a:ln>
                  </pic:spPr>
                </pic:pic>
              </a:graphicData>
            </a:graphic>
          </wp:inline>
        </w:drawing>
      </w:r>
    </w:p>
    <w:p w:rsidR="009B29BC" w:rsidRPr="009B29BC" w:rsidRDefault="009B29BC" w:rsidP="009B29BC">
      <w:pPr>
        <w:jc w:val="center"/>
      </w:pPr>
    </w:p>
    <w:p w:rsidR="008850DE" w:rsidRDefault="008850DE">
      <w:pPr>
        <w:pStyle w:val="1"/>
      </w:pPr>
      <w:r>
        <w:t>Российская Федерация</w:t>
      </w:r>
    </w:p>
    <w:p w:rsidR="008850DE" w:rsidRDefault="008850DE">
      <w:pPr>
        <w:pStyle w:val="1"/>
        <w:rPr>
          <w:bCs/>
          <w:szCs w:val="24"/>
        </w:rPr>
      </w:pPr>
      <w:r>
        <w:rPr>
          <w:bCs/>
          <w:szCs w:val="24"/>
        </w:rPr>
        <w:t>Новгородская область</w:t>
      </w:r>
    </w:p>
    <w:p w:rsidR="008850DE" w:rsidRDefault="008850DE">
      <w:pPr>
        <w:jc w:val="center"/>
        <w:rPr>
          <w:b/>
        </w:rPr>
      </w:pPr>
      <w:r>
        <w:rPr>
          <w:b/>
        </w:rPr>
        <w:t>ДУМА МАЛОВИШЕРСКОГО МУНИЦИПАЛЬНОГО РАЙОНА</w:t>
      </w:r>
    </w:p>
    <w:p w:rsidR="008850DE" w:rsidRDefault="008850DE">
      <w:pPr>
        <w:pStyle w:val="3"/>
        <w:rPr>
          <w:sz w:val="28"/>
        </w:rPr>
      </w:pPr>
    </w:p>
    <w:p w:rsidR="008850DE" w:rsidRDefault="008850DE">
      <w:pPr>
        <w:jc w:val="center"/>
      </w:pPr>
      <w:r>
        <w:t>Р Е Ш Е Н И Е</w:t>
      </w:r>
    </w:p>
    <w:p w:rsidR="008850DE" w:rsidRDefault="008850DE">
      <w:pPr>
        <w:jc w:val="center"/>
      </w:pPr>
    </w:p>
    <w:tbl>
      <w:tblPr>
        <w:tblW w:w="0" w:type="auto"/>
        <w:tblLayout w:type="fixed"/>
        <w:tblLook w:val="0000"/>
      </w:tblPr>
      <w:tblGrid>
        <w:gridCol w:w="4361"/>
      </w:tblGrid>
      <w:tr w:rsidR="008850DE" w:rsidRPr="00452258" w:rsidTr="00E24125">
        <w:tc>
          <w:tcPr>
            <w:tcW w:w="4361" w:type="dxa"/>
          </w:tcPr>
          <w:p w:rsidR="008850DE" w:rsidRPr="008E492E" w:rsidRDefault="004552F6" w:rsidP="00223585">
            <w:pPr>
              <w:adjustRightInd w:val="0"/>
              <w:spacing w:line="240" w:lineRule="exact"/>
              <w:jc w:val="both"/>
              <w:rPr>
                <w:b/>
                <w:bCs/>
                <w:szCs w:val="28"/>
              </w:rPr>
            </w:pPr>
            <w:r w:rsidRPr="004C35BC">
              <w:rPr>
                <w:b/>
              </w:rPr>
              <w:t>О</w:t>
            </w:r>
            <w:r>
              <w:rPr>
                <w:b/>
              </w:rPr>
              <w:t>б утверждении</w:t>
            </w:r>
            <w:r w:rsidRPr="004C35BC">
              <w:rPr>
                <w:b/>
              </w:rPr>
              <w:t xml:space="preserve"> </w:t>
            </w:r>
            <w:r w:rsidR="00E517E5">
              <w:rPr>
                <w:b/>
              </w:rPr>
              <w:t>ежегодного о</w:t>
            </w:r>
            <w:r w:rsidR="00E517E5">
              <w:rPr>
                <w:b/>
              </w:rPr>
              <w:t>т</w:t>
            </w:r>
            <w:r w:rsidR="00E517E5">
              <w:rPr>
                <w:b/>
              </w:rPr>
              <w:t>чета о деятельности Сч</w:t>
            </w:r>
            <w:r w:rsidR="00223585">
              <w:rPr>
                <w:b/>
              </w:rPr>
              <w:t>ё</w:t>
            </w:r>
            <w:r w:rsidR="00E517E5">
              <w:rPr>
                <w:b/>
              </w:rPr>
              <w:t>тной палаты Маловишерского мун</w:t>
            </w:r>
            <w:r w:rsidR="00E517E5">
              <w:rPr>
                <w:b/>
              </w:rPr>
              <w:t>и</w:t>
            </w:r>
            <w:r w:rsidR="00E517E5">
              <w:rPr>
                <w:b/>
              </w:rPr>
              <w:t>ципального района, результатах проведенных контрольных и экспертно-аналитических м</w:t>
            </w:r>
            <w:r w:rsidR="00E517E5">
              <w:rPr>
                <w:b/>
              </w:rPr>
              <w:t>е</w:t>
            </w:r>
            <w:r w:rsidR="00E517E5">
              <w:rPr>
                <w:b/>
              </w:rPr>
              <w:t>роприятий в 2017 году</w:t>
            </w:r>
          </w:p>
        </w:tc>
      </w:tr>
    </w:tbl>
    <w:p w:rsidR="008850DE" w:rsidRDefault="008850DE">
      <w:pPr>
        <w:jc w:val="center"/>
      </w:pPr>
    </w:p>
    <w:p w:rsidR="00197216" w:rsidRPr="001F6766" w:rsidRDefault="00197216" w:rsidP="00197216">
      <w:pPr>
        <w:jc w:val="center"/>
        <w:rPr>
          <w:sz w:val="24"/>
        </w:rPr>
      </w:pPr>
      <w:r w:rsidRPr="001F6766">
        <w:rPr>
          <w:sz w:val="24"/>
        </w:rPr>
        <w:t xml:space="preserve">Принято Думой Маловишерского муниципального района </w:t>
      </w:r>
      <w:r w:rsidR="005A6D1F">
        <w:rPr>
          <w:sz w:val="24"/>
        </w:rPr>
        <w:t>2</w:t>
      </w:r>
      <w:r w:rsidR="001F6766" w:rsidRPr="001F6766">
        <w:rPr>
          <w:sz w:val="24"/>
        </w:rPr>
        <w:t>7</w:t>
      </w:r>
      <w:r w:rsidR="005A40C8" w:rsidRPr="001F6766">
        <w:rPr>
          <w:sz w:val="24"/>
        </w:rPr>
        <w:t xml:space="preserve"> </w:t>
      </w:r>
      <w:r w:rsidR="001F6766" w:rsidRPr="001F6766">
        <w:rPr>
          <w:sz w:val="24"/>
        </w:rPr>
        <w:t>декабря</w:t>
      </w:r>
      <w:r w:rsidR="00EB02EC" w:rsidRPr="001F6766">
        <w:rPr>
          <w:sz w:val="24"/>
        </w:rPr>
        <w:t xml:space="preserve"> </w:t>
      </w:r>
      <w:r w:rsidRPr="001F6766">
        <w:rPr>
          <w:sz w:val="24"/>
        </w:rPr>
        <w:t>2017 года</w:t>
      </w:r>
    </w:p>
    <w:p w:rsidR="00197216" w:rsidRPr="0010034A" w:rsidRDefault="00197216" w:rsidP="00197216">
      <w:pPr>
        <w:jc w:val="center"/>
        <w:rPr>
          <w:szCs w:val="28"/>
        </w:rPr>
      </w:pPr>
    </w:p>
    <w:p w:rsidR="008E492E" w:rsidRPr="00916FA4" w:rsidRDefault="004552F6" w:rsidP="008E492E">
      <w:pPr>
        <w:ind w:firstLine="708"/>
        <w:jc w:val="both"/>
        <w:rPr>
          <w:szCs w:val="28"/>
        </w:rPr>
      </w:pPr>
      <w:r w:rsidRPr="00916FA4">
        <w:rPr>
          <w:szCs w:val="28"/>
        </w:rPr>
        <w:t>В соответствии с</w:t>
      </w:r>
      <w:r w:rsidR="00E517E5">
        <w:rPr>
          <w:szCs w:val="28"/>
        </w:rPr>
        <w:t xml:space="preserve"> частью 2 статьи 19 Ф</w:t>
      </w:r>
      <w:r w:rsidRPr="00916FA4">
        <w:rPr>
          <w:szCs w:val="28"/>
        </w:rPr>
        <w:t>едеральн</w:t>
      </w:r>
      <w:r w:rsidR="00E517E5">
        <w:rPr>
          <w:szCs w:val="28"/>
        </w:rPr>
        <w:t>ого</w:t>
      </w:r>
      <w:r w:rsidRPr="00916FA4">
        <w:rPr>
          <w:szCs w:val="28"/>
        </w:rPr>
        <w:t xml:space="preserve"> закона от </w:t>
      </w:r>
      <w:r w:rsidR="00E517E5">
        <w:rPr>
          <w:szCs w:val="28"/>
        </w:rPr>
        <w:t>07</w:t>
      </w:r>
      <w:r w:rsidRPr="00916FA4">
        <w:rPr>
          <w:szCs w:val="28"/>
        </w:rPr>
        <w:t xml:space="preserve"> </w:t>
      </w:r>
      <w:r w:rsidR="00E517E5">
        <w:rPr>
          <w:szCs w:val="28"/>
        </w:rPr>
        <w:t>февраля</w:t>
      </w:r>
      <w:r w:rsidRPr="00916FA4">
        <w:rPr>
          <w:szCs w:val="28"/>
        </w:rPr>
        <w:t xml:space="preserve"> 20</w:t>
      </w:r>
      <w:r w:rsidR="00E517E5">
        <w:rPr>
          <w:szCs w:val="28"/>
        </w:rPr>
        <w:t>11</w:t>
      </w:r>
      <w:r w:rsidRPr="00916FA4">
        <w:rPr>
          <w:szCs w:val="28"/>
        </w:rPr>
        <w:t xml:space="preserve"> года №</w:t>
      </w:r>
      <w:r w:rsidR="00E517E5">
        <w:rPr>
          <w:szCs w:val="28"/>
        </w:rPr>
        <w:t>6</w:t>
      </w:r>
      <w:r w:rsidRPr="00916FA4">
        <w:rPr>
          <w:szCs w:val="28"/>
        </w:rPr>
        <w:t xml:space="preserve">-ФЗ «Об общих принципах организации </w:t>
      </w:r>
      <w:r w:rsidR="00E517E5">
        <w:rPr>
          <w:szCs w:val="28"/>
        </w:rPr>
        <w:t>и деятельности ко</w:t>
      </w:r>
      <w:r w:rsidR="00E517E5">
        <w:rPr>
          <w:szCs w:val="28"/>
        </w:rPr>
        <w:t>н</w:t>
      </w:r>
      <w:r w:rsidR="00E517E5">
        <w:rPr>
          <w:szCs w:val="28"/>
        </w:rPr>
        <w:t>трольно- счетных  органов субъектов Российской Федерации и муниципальных образований», абзацем 10 подпункта 4.2.1 Положения о Счетной палате Мал</w:t>
      </w:r>
      <w:r w:rsidR="00E517E5">
        <w:rPr>
          <w:szCs w:val="28"/>
        </w:rPr>
        <w:t>о</w:t>
      </w:r>
      <w:r w:rsidR="00E517E5">
        <w:rPr>
          <w:szCs w:val="28"/>
        </w:rPr>
        <w:t>вишерского муниципального района, утвержденного решением Думы Малов</w:t>
      </w:r>
      <w:r w:rsidR="00E517E5">
        <w:rPr>
          <w:szCs w:val="28"/>
        </w:rPr>
        <w:t>и</w:t>
      </w:r>
      <w:r w:rsidR="00E517E5">
        <w:rPr>
          <w:szCs w:val="28"/>
        </w:rPr>
        <w:t>шерского муниципального района от 30.01.2012 №129</w:t>
      </w:r>
      <w:r w:rsidR="008E492E" w:rsidRPr="00916FA4">
        <w:rPr>
          <w:szCs w:val="28"/>
        </w:rPr>
        <w:t xml:space="preserve">,  </w:t>
      </w:r>
    </w:p>
    <w:p w:rsidR="008E492E" w:rsidRPr="00916FA4" w:rsidRDefault="008E492E" w:rsidP="008E492E">
      <w:pPr>
        <w:ind w:firstLine="708"/>
        <w:jc w:val="both"/>
        <w:rPr>
          <w:szCs w:val="28"/>
        </w:rPr>
      </w:pPr>
      <w:r w:rsidRPr="00916FA4">
        <w:rPr>
          <w:szCs w:val="28"/>
        </w:rPr>
        <w:t>Дума Маловишерского мун</w:t>
      </w:r>
      <w:r w:rsidRPr="00916FA4">
        <w:rPr>
          <w:szCs w:val="28"/>
        </w:rPr>
        <w:t>и</w:t>
      </w:r>
      <w:r w:rsidRPr="00916FA4">
        <w:rPr>
          <w:szCs w:val="28"/>
        </w:rPr>
        <w:t>ципального района</w:t>
      </w:r>
    </w:p>
    <w:p w:rsidR="008E492E" w:rsidRPr="00C172D0" w:rsidRDefault="008E492E" w:rsidP="008E492E">
      <w:pPr>
        <w:pStyle w:val="a3"/>
        <w:rPr>
          <w:b/>
          <w:bCs/>
          <w:sz w:val="27"/>
          <w:szCs w:val="27"/>
        </w:rPr>
      </w:pPr>
      <w:r w:rsidRPr="00C172D0">
        <w:rPr>
          <w:b/>
          <w:bCs/>
          <w:sz w:val="27"/>
          <w:szCs w:val="27"/>
        </w:rPr>
        <w:t>РЕШИЛА:</w:t>
      </w:r>
    </w:p>
    <w:p w:rsidR="008E492E" w:rsidRPr="00C172D0" w:rsidRDefault="008E492E" w:rsidP="008E492E">
      <w:pPr>
        <w:pStyle w:val="a3"/>
        <w:ind w:firstLine="708"/>
        <w:rPr>
          <w:sz w:val="27"/>
          <w:szCs w:val="27"/>
        </w:rPr>
      </w:pPr>
    </w:p>
    <w:p w:rsidR="004552F6" w:rsidRDefault="004552F6" w:rsidP="004552F6">
      <w:pPr>
        <w:ind w:firstLine="600"/>
        <w:jc w:val="both"/>
      </w:pPr>
      <w:r>
        <w:t xml:space="preserve">1. Утвердить прилагаемый </w:t>
      </w:r>
      <w:r w:rsidR="00E517E5">
        <w:t>ежегодный отчет о деятельности Счётной пал</w:t>
      </w:r>
      <w:r w:rsidR="00E517E5">
        <w:t>а</w:t>
      </w:r>
      <w:r w:rsidR="00E517E5">
        <w:t>ты Маловишерского муниципального района,  результатах проведенных ко</w:t>
      </w:r>
      <w:r w:rsidR="00E517E5">
        <w:t>н</w:t>
      </w:r>
      <w:r w:rsidR="00E517E5">
        <w:t>трольных и экспертно-аналитических мероприятий в 2017 году</w:t>
      </w:r>
      <w:r>
        <w:t>.</w:t>
      </w:r>
    </w:p>
    <w:p w:rsidR="001F6766" w:rsidRPr="00C172D0" w:rsidRDefault="00E517E5" w:rsidP="004552F6">
      <w:pPr>
        <w:ind w:firstLine="709"/>
        <w:jc w:val="both"/>
        <w:rPr>
          <w:sz w:val="27"/>
          <w:szCs w:val="27"/>
        </w:rPr>
      </w:pPr>
      <w:r>
        <w:t>2</w:t>
      </w:r>
      <w:r w:rsidR="004552F6">
        <w:t>. Опубликовать решение в бюллетене «Возрождение».</w:t>
      </w:r>
    </w:p>
    <w:p w:rsidR="009F3C32" w:rsidRPr="00916FA4" w:rsidRDefault="009F3C32" w:rsidP="0036290D">
      <w:pPr>
        <w:jc w:val="both"/>
        <w:rPr>
          <w:szCs w:val="28"/>
        </w:rPr>
      </w:pPr>
    </w:p>
    <w:p w:rsidR="00C172D0" w:rsidRPr="00916FA4" w:rsidRDefault="00C172D0" w:rsidP="0036290D">
      <w:pPr>
        <w:jc w:val="both"/>
        <w:rPr>
          <w:szCs w:val="28"/>
        </w:rPr>
      </w:pPr>
    </w:p>
    <w:p w:rsidR="00303D98" w:rsidRPr="00916FA4" w:rsidRDefault="00303D98" w:rsidP="00C0584B">
      <w:pPr>
        <w:pStyle w:val="a3"/>
        <w:spacing w:line="240" w:lineRule="exact"/>
        <w:rPr>
          <w:b/>
          <w:szCs w:val="28"/>
        </w:rPr>
      </w:pPr>
    </w:p>
    <w:p w:rsidR="00D20243" w:rsidRPr="00916FA4" w:rsidRDefault="00D20243" w:rsidP="00D20243">
      <w:pPr>
        <w:pStyle w:val="a3"/>
        <w:spacing w:line="240" w:lineRule="exact"/>
        <w:rPr>
          <w:b/>
          <w:szCs w:val="28"/>
        </w:rPr>
      </w:pPr>
      <w:r w:rsidRPr="00916FA4">
        <w:rPr>
          <w:b/>
          <w:szCs w:val="28"/>
        </w:rPr>
        <w:t xml:space="preserve">Председатель Думы </w:t>
      </w:r>
    </w:p>
    <w:p w:rsidR="00D20243" w:rsidRPr="00916FA4" w:rsidRDefault="00D20243" w:rsidP="00D20243">
      <w:pPr>
        <w:pStyle w:val="a3"/>
        <w:spacing w:line="240" w:lineRule="exact"/>
        <w:rPr>
          <w:b/>
          <w:szCs w:val="28"/>
        </w:rPr>
      </w:pPr>
      <w:r w:rsidRPr="00916FA4">
        <w:rPr>
          <w:b/>
          <w:szCs w:val="28"/>
        </w:rPr>
        <w:t xml:space="preserve">муниципального района </w:t>
      </w:r>
      <w:r w:rsidRPr="00916FA4">
        <w:rPr>
          <w:b/>
          <w:szCs w:val="28"/>
        </w:rPr>
        <w:tab/>
        <w:t xml:space="preserve"> Г.Г. Жук</w:t>
      </w:r>
      <w:r w:rsidRPr="00916FA4">
        <w:rPr>
          <w:b/>
          <w:szCs w:val="28"/>
        </w:rPr>
        <w:t>о</w:t>
      </w:r>
      <w:r w:rsidRPr="00916FA4">
        <w:rPr>
          <w:b/>
          <w:szCs w:val="28"/>
        </w:rPr>
        <w:t xml:space="preserve">ва </w:t>
      </w:r>
    </w:p>
    <w:p w:rsidR="00D20243" w:rsidRPr="00916FA4" w:rsidRDefault="00D20243" w:rsidP="00D20243">
      <w:pPr>
        <w:pStyle w:val="a3"/>
        <w:spacing w:line="240" w:lineRule="exact"/>
        <w:rPr>
          <w:b/>
          <w:szCs w:val="28"/>
        </w:rPr>
      </w:pPr>
    </w:p>
    <w:p w:rsidR="00D20243" w:rsidRPr="00916FA4" w:rsidRDefault="00D20243" w:rsidP="00D20243">
      <w:pPr>
        <w:pStyle w:val="a3"/>
        <w:spacing w:line="240" w:lineRule="exact"/>
        <w:rPr>
          <w:b/>
          <w:szCs w:val="28"/>
        </w:rPr>
      </w:pPr>
    </w:p>
    <w:p w:rsidR="001F6766" w:rsidRPr="00916FA4" w:rsidRDefault="001F6766" w:rsidP="001F6766">
      <w:pPr>
        <w:spacing w:line="240" w:lineRule="exact"/>
        <w:jc w:val="both"/>
        <w:rPr>
          <w:b/>
          <w:szCs w:val="28"/>
        </w:rPr>
      </w:pPr>
      <w:r w:rsidRPr="00916FA4">
        <w:rPr>
          <w:b/>
          <w:szCs w:val="28"/>
        </w:rPr>
        <w:t xml:space="preserve">Глава муниципального района </w:t>
      </w:r>
      <w:r w:rsidRPr="00916FA4">
        <w:rPr>
          <w:b/>
          <w:szCs w:val="28"/>
        </w:rPr>
        <w:tab/>
        <w:t xml:space="preserve"> Н.А. Ма</w:t>
      </w:r>
      <w:r w:rsidRPr="00916FA4">
        <w:rPr>
          <w:b/>
          <w:szCs w:val="28"/>
        </w:rPr>
        <w:t>с</w:t>
      </w:r>
      <w:r w:rsidRPr="00916FA4">
        <w:rPr>
          <w:b/>
          <w:szCs w:val="28"/>
        </w:rPr>
        <w:t>лов</w:t>
      </w:r>
    </w:p>
    <w:p w:rsidR="000C7717" w:rsidRPr="00916FA4" w:rsidRDefault="000C7717" w:rsidP="00C0584B">
      <w:pPr>
        <w:spacing w:line="240" w:lineRule="exact"/>
        <w:jc w:val="both"/>
        <w:rPr>
          <w:szCs w:val="28"/>
        </w:rPr>
      </w:pPr>
    </w:p>
    <w:p w:rsidR="00DE7AEF" w:rsidRPr="00916FA4" w:rsidRDefault="00DE7AEF" w:rsidP="00C0584B">
      <w:pPr>
        <w:spacing w:line="240" w:lineRule="exact"/>
        <w:jc w:val="both"/>
        <w:rPr>
          <w:szCs w:val="28"/>
        </w:rPr>
      </w:pPr>
    </w:p>
    <w:p w:rsidR="00DE7AEF" w:rsidRPr="00916FA4" w:rsidRDefault="00DE7AEF" w:rsidP="00C0584B">
      <w:pPr>
        <w:spacing w:line="240" w:lineRule="exact"/>
        <w:jc w:val="both"/>
        <w:rPr>
          <w:szCs w:val="28"/>
        </w:rPr>
      </w:pPr>
    </w:p>
    <w:p w:rsidR="00000FD2" w:rsidRPr="00916FA4" w:rsidRDefault="005A6D1F" w:rsidP="00C0584B">
      <w:pPr>
        <w:spacing w:line="240" w:lineRule="exact"/>
        <w:jc w:val="both"/>
        <w:rPr>
          <w:szCs w:val="28"/>
        </w:rPr>
      </w:pPr>
      <w:r w:rsidRPr="00916FA4">
        <w:rPr>
          <w:szCs w:val="28"/>
        </w:rPr>
        <w:t>2</w:t>
      </w:r>
      <w:r w:rsidR="001F6766" w:rsidRPr="00916FA4">
        <w:rPr>
          <w:szCs w:val="28"/>
        </w:rPr>
        <w:t>7</w:t>
      </w:r>
      <w:r w:rsidR="00000FD2" w:rsidRPr="00916FA4">
        <w:rPr>
          <w:szCs w:val="28"/>
        </w:rPr>
        <w:t xml:space="preserve"> </w:t>
      </w:r>
      <w:r w:rsidR="001F6766" w:rsidRPr="00916FA4">
        <w:rPr>
          <w:szCs w:val="28"/>
        </w:rPr>
        <w:t>декабря</w:t>
      </w:r>
      <w:r w:rsidR="00000FD2" w:rsidRPr="00916FA4">
        <w:rPr>
          <w:szCs w:val="28"/>
        </w:rPr>
        <w:t xml:space="preserve"> 201</w:t>
      </w:r>
      <w:r w:rsidR="000A39D0" w:rsidRPr="00916FA4">
        <w:rPr>
          <w:szCs w:val="28"/>
        </w:rPr>
        <w:t>7</w:t>
      </w:r>
      <w:r w:rsidR="00000FD2" w:rsidRPr="00916FA4">
        <w:rPr>
          <w:szCs w:val="28"/>
        </w:rPr>
        <w:t xml:space="preserve"> года</w:t>
      </w:r>
    </w:p>
    <w:p w:rsidR="00000FD2" w:rsidRPr="00916FA4" w:rsidRDefault="00000FD2" w:rsidP="00C0584B">
      <w:pPr>
        <w:spacing w:line="240" w:lineRule="exact"/>
        <w:jc w:val="both"/>
        <w:rPr>
          <w:szCs w:val="28"/>
        </w:rPr>
      </w:pPr>
      <w:r w:rsidRPr="00916FA4">
        <w:rPr>
          <w:szCs w:val="28"/>
        </w:rPr>
        <w:t xml:space="preserve">№ </w:t>
      </w:r>
      <w:r w:rsidR="00B739AB" w:rsidRPr="00916FA4">
        <w:rPr>
          <w:szCs w:val="28"/>
        </w:rPr>
        <w:t>2</w:t>
      </w:r>
      <w:r w:rsidR="005A6D1F" w:rsidRPr="00916FA4">
        <w:rPr>
          <w:szCs w:val="28"/>
        </w:rPr>
        <w:t>3</w:t>
      </w:r>
      <w:r w:rsidR="00E517E5">
        <w:rPr>
          <w:szCs w:val="28"/>
        </w:rPr>
        <w:t>6</w:t>
      </w:r>
    </w:p>
    <w:p w:rsidR="009001C4" w:rsidRDefault="00000FD2" w:rsidP="00AF4539">
      <w:pPr>
        <w:spacing w:line="240" w:lineRule="exact"/>
        <w:rPr>
          <w:sz w:val="27"/>
          <w:szCs w:val="27"/>
        </w:rPr>
      </w:pPr>
      <w:r w:rsidRPr="00916FA4">
        <w:rPr>
          <w:szCs w:val="28"/>
        </w:rPr>
        <w:t>Малая Вишера</w:t>
      </w:r>
      <w:bookmarkStart w:id="0" w:name="Par24"/>
      <w:bookmarkEnd w:id="0"/>
      <w:r w:rsidR="00C0584B" w:rsidRPr="00C172D0">
        <w:rPr>
          <w:sz w:val="27"/>
          <w:szCs w:val="27"/>
        </w:rPr>
        <w:t xml:space="preserve"> </w:t>
      </w:r>
    </w:p>
    <w:p w:rsidR="00916FA4" w:rsidRDefault="00916FA4" w:rsidP="00AF4539">
      <w:pPr>
        <w:spacing w:line="240" w:lineRule="exact"/>
        <w:rPr>
          <w:sz w:val="27"/>
          <w:szCs w:val="27"/>
        </w:rPr>
      </w:pPr>
    </w:p>
    <w:p w:rsidR="00916FA4" w:rsidRDefault="00916FA4" w:rsidP="00AF4539">
      <w:pPr>
        <w:spacing w:line="240" w:lineRule="exact"/>
        <w:rPr>
          <w:b/>
          <w:sz w:val="27"/>
          <w:szCs w:val="27"/>
        </w:rPr>
        <w:sectPr w:rsidR="00916FA4" w:rsidSect="009001C4">
          <w:headerReference w:type="even" r:id="rId9"/>
          <w:headerReference w:type="default" r:id="rId10"/>
          <w:type w:val="continuous"/>
          <w:pgSz w:w="11907" w:h="16840" w:code="9"/>
          <w:pgMar w:top="567" w:right="567" w:bottom="851" w:left="1701" w:header="567" w:footer="567" w:gutter="0"/>
          <w:pgNumType w:start="1"/>
          <w:cols w:space="708"/>
          <w:titlePg/>
          <w:docGrid w:linePitch="381"/>
        </w:sectPr>
      </w:pPr>
    </w:p>
    <w:tbl>
      <w:tblPr>
        <w:tblW w:w="0" w:type="auto"/>
        <w:jc w:val="right"/>
        <w:tblInd w:w="5210" w:type="dxa"/>
        <w:tblLook w:val="04A0"/>
      </w:tblPr>
      <w:tblGrid>
        <w:gridCol w:w="4644"/>
      </w:tblGrid>
      <w:tr w:rsidR="00916FA4" w:rsidRPr="00CC006B" w:rsidTr="00916FA4">
        <w:trPr>
          <w:jc w:val="right"/>
        </w:trPr>
        <w:tc>
          <w:tcPr>
            <w:tcW w:w="4644" w:type="dxa"/>
          </w:tcPr>
          <w:p w:rsidR="00916FA4" w:rsidRPr="00916FA4" w:rsidRDefault="00916FA4" w:rsidP="00916FA4">
            <w:pPr>
              <w:spacing w:line="280" w:lineRule="exact"/>
              <w:jc w:val="center"/>
              <w:rPr>
                <w:szCs w:val="28"/>
              </w:rPr>
            </w:pPr>
            <w:r w:rsidRPr="00916FA4">
              <w:rPr>
                <w:szCs w:val="28"/>
              </w:rPr>
              <w:lastRenderedPageBreak/>
              <w:t>Утвержден</w:t>
            </w:r>
          </w:p>
        </w:tc>
      </w:tr>
      <w:tr w:rsidR="00916FA4" w:rsidRPr="00CC006B" w:rsidTr="00916FA4">
        <w:trPr>
          <w:jc w:val="right"/>
        </w:trPr>
        <w:tc>
          <w:tcPr>
            <w:tcW w:w="4644" w:type="dxa"/>
          </w:tcPr>
          <w:p w:rsidR="00916FA4" w:rsidRPr="00916FA4" w:rsidRDefault="00916FA4" w:rsidP="00916FA4">
            <w:pPr>
              <w:spacing w:line="280" w:lineRule="exact"/>
              <w:jc w:val="center"/>
              <w:rPr>
                <w:szCs w:val="28"/>
              </w:rPr>
            </w:pPr>
            <w:r w:rsidRPr="00916FA4">
              <w:rPr>
                <w:szCs w:val="28"/>
              </w:rPr>
              <w:t xml:space="preserve"> решением Думы Маловишерского м</w:t>
            </w:r>
            <w:r w:rsidRPr="00916FA4">
              <w:rPr>
                <w:szCs w:val="28"/>
              </w:rPr>
              <w:t>у</w:t>
            </w:r>
            <w:r w:rsidRPr="00916FA4">
              <w:rPr>
                <w:szCs w:val="28"/>
              </w:rPr>
              <w:t>ниципального района</w:t>
            </w:r>
          </w:p>
          <w:p w:rsidR="00916FA4" w:rsidRPr="00916FA4" w:rsidRDefault="00916FA4" w:rsidP="00223585">
            <w:pPr>
              <w:spacing w:line="280" w:lineRule="exact"/>
              <w:jc w:val="center"/>
              <w:rPr>
                <w:szCs w:val="28"/>
              </w:rPr>
            </w:pPr>
            <w:r w:rsidRPr="00916FA4">
              <w:rPr>
                <w:szCs w:val="28"/>
              </w:rPr>
              <w:t>от 27.12.2017 №23</w:t>
            </w:r>
            <w:r w:rsidR="00223585">
              <w:rPr>
                <w:szCs w:val="28"/>
              </w:rPr>
              <w:t>6</w:t>
            </w:r>
          </w:p>
        </w:tc>
      </w:tr>
    </w:tbl>
    <w:p w:rsidR="00916FA4" w:rsidRDefault="00916FA4" w:rsidP="00916FA4">
      <w:pPr>
        <w:jc w:val="right"/>
      </w:pPr>
    </w:p>
    <w:p w:rsidR="00223585" w:rsidRPr="00223585" w:rsidRDefault="00223585" w:rsidP="00223585">
      <w:pPr>
        <w:pStyle w:val="af"/>
        <w:spacing w:before="0" w:beforeAutospacing="0" w:after="0" w:afterAutospacing="0"/>
        <w:ind w:firstLine="709"/>
        <w:jc w:val="center"/>
        <w:rPr>
          <w:rFonts w:ascii="Times New Roman" w:hAnsi="Times New Roman"/>
          <w:b/>
          <w:bCs/>
          <w:sz w:val="28"/>
          <w:szCs w:val="28"/>
        </w:rPr>
      </w:pPr>
      <w:r w:rsidRPr="00223585">
        <w:rPr>
          <w:rFonts w:ascii="Times New Roman" w:hAnsi="Times New Roman"/>
          <w:b/>
          <w:bCs/>
          <w:sz w:val="28"/>
          <w:szCs w:val="28"/>
        </w:rPr>
        <w:t>Ежегодный отчет о деятельности</w:t>
      </w:r>
    </w:p>
    <w:p w:rsidR="00223585" w:rsidRPr="00223585" w:rsidRDefault="00223585" w:rsidP="00223585">
      <w:pPr>
        <w:pStyle w:val="af"/>
        <w:spacing w:before="0" w:beforeAutospacing="0" w:after="0" w:afterAutospacing="0"/>
        <w:ind w:firstLine="709"/>
        <w:jc w:val="center"/>
        <w:rPr>
          <w:rFonts w:ascii="Times New Roman" w:hAnsi="Times New Roman"/>
          <w:b/>
          <w:bCs/>
          <w:sz w:val="28"/>
          <w:szCs w:val="28"/>
        </w:rPr>
      </w:pPr>
      <w:r w:rsidRPr="00223585">
        <w:rPr>
          <w:rFonts w:ascii="Times New Roman" w:hAnsi="Times New Roman"/>
          <w:b/>
          <w:bCs/>
          <w:sz w:val="28"/>
          <w:szCs w:val="28"/>
        </w:rPr>
        <w:t>Счётной палаты Маловишерского муниципального района,</w:t>
      </w:r>
    </w:p>
    <w:p w:rsidR="00223585" w:rsidRPr="00223585" w:rsidRDefault="00223585" w:rsidP="00223585">
      <w:pPr>
        <w:pStyle w:val="af"/>
        <w:spacing w:before="0" w:beforeAutospacing="0" w:after="0" w:afterAutospacing="0"/>
        <w:ind w:firstLine="709"/>
        <w:jc w:val="center"/>
        <w:rPr>
          <w:rFonts w:ascii="Times New Roman" w:hAnsi="Times New Roman"/>
          <w:b/>
          <w:bCs/>
          <w:sz w:val="28"/>
          <w:szCs w:val="28"/>
        </w:rPr>
      </w:pPr>
      <w:r w:rsidRPr="00223585">
        <w:rPr>
          <w:rFonts w:ascii="Times New Roman" w:hAnsi="Times New Roman"/>
          <w:b/>
          <w:bCs/>
          <w:sz w:val="28"/>
          <w:szCs w:val="28"/>
        </w:rPr>
        <w:t>результатах проведенных контрольных и экспертно- аналитических мероприятий в 2017 году</w:t>
      </w:r>
    </w:p>
    <w:p w:rsidR="00223585" w:rsidRPr="00223585" w:rsidRDefault="00223585" w:rsidP="00223585">
      <w:pPr>
        <w:pStyle w:val="af"/>
        <w:spacing w:before="0" w:beforeAutospacing="0" w:after="0" w:afterAutospacing="0"/>
        <w:ind w:firstLine="709"/>
        <w:jc w:val="both"/>
        <w:rPr>
          <w:rFonts w:ascii="Times New Roman" w:hAnsi="Times New Roman"/>
          <w:b/>
          <w:bCs/>
          <w:sz w:val="28"/>
          <w:szCs w:val="28"/>
        </w:rPr>
      </w:pPr>
    </w:p>
    <w:p w:rsidR="00223585" w:rsidRPr="00223585" w:rsidRDefault="00223585" w:rsidP="00223585">
      <w:pPr>
        <w:pStyle w:val="af"/>
        <w:spacing w:before="0" w:beforeAutospacing="0" w:after="0" w:afterAutospacing="0"/>
        <w:ind w:firstLine="709"/>
        <w:jc w:val="both"/>
        <w:rPr>
          <w:rStyle w:val="af3"/>
          <w:rFonts w:ascii="Times New Roman" w:hAnsi="Times New Roman"/>
          <w:b w:val="0"/>
          <w:sz w:val="28"/>
          <w:szCs w:val="28"/>
        </w:rPr>
      </w:pPr>
      <w:r w:rsidRPr="00223585">
        <w:rPr>
          <w:rFonts w:ascii="Times New Roman" w:hAnsi="Times New Roman"/>
          <w:bCs/>
          <w:sz w:val="28"/>
          <w:szCs w:val="28"/>
        </w:rPr>
        <w:t xml:space="preserve">Ежегодный отчет о деятельности Счётной палаты Маловишерского муниципального района, результатах проведенных контрольных и экспертно- аналитических мероприятий в 2017 году </w:t>
      </w:r>
      <w:r w:rsidRPr="00223585">
        <w:rPr>
          <w:rFonts w:ascii="Times New Roman" w:hAnsi="Times New Roman"/>
          <w:sz w:val="28"/>
          <w:szCs w:val="28"/>
        </w:rPr>
        <w:t xml:space="preserve"> (далее – Отчет) подготовлен в соответствии с требованиями пункта 4.2 Положения о Счётной палате Маловишерского муниципального района, утвержденного Решением Думы Маловишерского муниципального района от 31.01.2012 №129 и отражает обобщающие сведения о результатах деятельности Счётной палаты муниципального района в 2017 году.</w:t>
      </w:r>
    </w:p>
    <w:p w:rsidR="00223585" w:rsidRDefault="00223585" w:rsidP="00223585">
      <w:pPr>
        <w:pStyle w:val="af"/>
        <w:spacing w:before="0" w:beforeAutospacing="0" w:after="0" w:afterAutospacing="0"/>
        <w:ind w:firstLine="709"/>
        <w:jc w:val="both"/>
        <w:rPr>
          <w:rStyle w:val="af3"/>
          <w:rFonts w:ascii="Times New Roman" w:hAnsi="Times New Roman"/>
          <w:sz w:val="28"/>
          <w:szCs w:val="28"/>
          <w:lang w:val="ru-RU"/>
        </w:rPr>
      </w:pP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Style w:val="af3"/>
          <w:rFonts w:ascii="Times New Roman" w:hAnsi="Times New Roman"/>
          <w:sz w:val="28"/>
          <w:szCs w:val="28"/>
        </w:rPr>
        <w:t>Основные итоги деятельности</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Организация и деятельность Счётной палаты Маловишерского муниципального района (далее - Счётная палата) в 2017 году, как и в предыдущие годы, осуществлялась в соответствии с требованиями законодательства, а именно: в соответствии с Бюджетным кодексом Российской Федерации, Ф</w:t>
      </w:r>
      <w:r w:rsidRPr="00223585">
        <w:rPr>
          <w:rFonts w:ascii="Times New Roman" w:hAnsi="Times New Roman"/>
          <w:sz w:val="28"/>
          <w:szCs w:val="28"/>
        </w:rPr>
        <w:t>е</w:t>
      </w:r>
      <w:r w:rsidRPr="00223585">
        <w:rPr>
          <w:rFonts w:ascii="Times New Roman" w:hAnsi="Times New Roman"/>
          <w:sz w:val="28"/>
          <w:szCs w:val="28"/>
        </w:rPr>
        <w:t>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нормативными правовыми актами, определяющими объем прав и обязанностей по осуществлению внешнего государственного финансового контроля.</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 xml:space="preserve"> Согласно Положению Счётная палата </w:t>
      </w:r>
      <w:r w:rsidRPr="00223585">
        <w:rPr>
          <w:rFonts w:ascii="Times New Roman" w:hAnsi="Times New Roman"/>
          <w:spacing w:val="-4"/>
          <w:sz w:val="28"/>
          <w:szCs w:val="28"/>
        </w:rPr>
        <w:t xml:space="preserve">является постоянно действующим органом внешнего муниципального финансового контроля, образована Думой Маловишерского муниципального района </w:t>
      </w:r>
      <w:r w:rsidRPr="00223585">
        <w:rPr>
          <w:rFonts w:ascii="Times New Roman" w:hAnsi="Times New Roman"/>
          <w:spacing w:val="-5"/>
          <w:sz w:val="28"/>
          <w:szCs w:val="28"/>
        </w:rPr>
        <w:t xml:space="preserve"> и в своей деятельности подотчетна ей. </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В целях выполнения установленных полномочий Счётной палатой осуществлялась контрольная, экспертно-аналитическая и иная деятельность, основанная на принципах законности, объективности, эффективности, независимости и гласности на основе годового Плана работы Счётной палаты, сформированного по предложениям Главы Маловишерского муниципальн</w:t>
      </w:r>
      <w:r w:rsidRPr="00223585">
        <w:rPr>
          <w:rFonts w:ascii="Times New Roman" w:hAnsi="Times New Roman"/>
          <w:sz w:val="28"/>
          <w:szCs w:val="28"/>
        </w:rPr>
        <w:t>о</w:t>
      </w:r>
      <w:r w:rsidRPr="00223585">
        <w:rPr>
          <w:rFonts w:ascii="Times New Roman" w:hAnsi="Times New Roman"/>
          <w:sz w:val="28"/>
          <w:szCs w:val="28"/>
        </w:rPr>
        <w:t>го района.</w:t>
      </w:r>
    </w:p>
    <w:p w:rsidR="00223585" w:rsidRPr="00223585" w:rsidRDefault="00223585" w:rsidP="00223585">
      <w:pPr>
        <w:ind w:firstLine="709"/>
        <w:jc w:val="both"/>
        <w:rPr>
          <w:szCs w:val="28"/>
        </w:rPr>
      </w:pPr>
      <w:r w:rsidRPr="00223585">
        <w:rPr>
          <w:szCs w:val="28"/>
        </w:rPr>
        <w:t>Счётной палатой заключено 4 Соглашения  о передаче полномочий на 2017 год по осуществлению внешнего муниципального финансового ко</w:t>
      </w:r>
      <w:r w:rsidRPr="00223585">
        <w:rPr>
          <w:szCs w:val="28"/>
        </w:rPr>
        <w:t>н</w:t>
      </w:r>
      <w:r w:rsidRPr="00223585">
        <w:rPr>
          <w:szCs w:val="28"/>
        </w:rPr>
        <w:t>троля.</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Style w:val="af3"/>
          <w:rFonts w:ascii="Times New Roman" w:hAnsi="Times New Roman"/>
          <w:sz w:val="28"/>
          <w:szCs w:val="28"/>
        </w:rPr>
        <w:t>Результаты деятельности Счётной палаты в 2017 году.</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В 2017 году Счётная палата провела 165 контрольное и экспертно-аналитическое мероприятие, из них 5 контрольных  мероприятий  и 160 экспертно- аналитических мероприятий, что на 34 мероприятий больше показателей 2016 года.</w:t>
      </w:r>
    </w:p>
    <w:p w:rsidR="00223585" w:rsidRPr="00223585" w:rsidRDefault="00223585" w:rsidP="00223585">
      <w:pPr>
        <w:ind w:firstLine="709"/>
        <w:jc w:val="both"/>
        <w:rPr>
          <w:szCs w:val="28"/>
        </w:rPr>
      </w:pPr>
      <w:r w:rsidRPr="00223585">
        <w:rPr>
          <w:szCs w:val="28"/>
        </w:rPr>
        <w:t>Динамика проведённых контрольных и экспертно-аналитических мер</w:t>
      </w:r>
      <w:r w:rsidRPr="00223585">
        <w:rPr>
          <w:szCs w:val="28"/>
        </w:rPr>
        <w:t>о</w:t>
      </w:r>
      <w:r w:rsidRPr="00223585">
        <w:rPr>
          <w:szCs w:val="28"/>
        </w:rPr>
        <w:t xml:space="preserve">приятий за 2012-2017 годы представлена на диаграмме 1. </w:t>
      </w:r>
    </w:p>
    <w:p w:rsidR="00223585" w:rsidRPr="00223585" w:rsidRDefault="00223585" w:rsidP="00223585">
      <w:pPr>
        <w:pStyle w:val="af"/>
        <w:spacing w:before="0" w:beforeAutospacing="0" w:after="0" w:afterAutospacing="0"/>
        <w:jc w:val="right"/>
        <w:rPr>
          <w:rFonts w:ascii="Times New Roman" w:hAnsi="Times New Roman"/>
          <w:sz w:val="28"/>
          <w:szCs w:val="28"/>
          <w:lang w:val="ru-RU"/>
        </w:rPr>
      </w:pPr>
      <w:r w:rsidRPr="00223585">
        <w:rPr>
          <w:rFonts w:ascii="Times New Roman" w:hAnsi="Times New Roman"/>
          <w:sz w:val="28"/>
          <w:szCs w:val="28"/>
        </w:rPr>
        <w:lastRenderedPageBreak/>
        <w:t xml:space="preserve">Диаграмма 1 </w:t>
      </w:r>
    </w:p>
    <w:p w:rsidR="00223585" w:rsidRPr="00223585" w:rsidRDefault="00223585" w:rsidP="00223585">
      <w:pPr>
        <w:pStyle w:val="af"/>
        <w:spacing w:before="0" w:beforeAutospacing="0" w:after="0" w:afterAutospacing="0"/>
        <w:jc w:val="right"/>
        <w:rPr>
          <w:rFonts w:ascii="Times New Roman" w:hAnsi="Times New Roman"/>
          <w:lang w:val="ru-RU"/>
        </w:rPr>
      </w:pPr>
    </w:p>
    <w:p w:rsidR="00223585" w:rsidRDefault="00B5067A" w:rsidP="00223585">
      <w:pPr>
        <w:pStyle w:val="af"/>
        <w:spacing w:before="0" w:beforeAutospacing="0" w:after="0" w:afterAutospacing="0"/>
        <w:jc w:val="both"/>
      </w:pPr>
      <w:r>
        <w:rPr>
          <w:noProof/>
          <w:lang w:val="ru-RU" w:eastAsia="ru-RU"/>
        </w:rPr>
        <w:drawing>
          <wp:inline distT="0" distB="0" distL="0" distR="0">
            <wp:extent cx="5955000" cy="2917699"/>
            <wp:effectExtent l="12769" t="6476" r="7581"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3585" w:rsidRDefault="00223585" w:rsidP="00223585">
      <w:pPr>
        <w:pStyle w:val="af"/>
        <w:spacing w:before="0" w:beforeAutospacing="0" w:after="0" w:afterAutospacing="0"/>
        <w:jc w:val="both"/>
      </w:pPr>
    </w:p>
    <w:p w:rsidR="00223585" w:rsidRPr="00223585" w:rsidRDefault="00223585" w:rsidP="00223585">
      <w:pPr>
        <w:ind w:firstLine="709"/>
        <w:jc w:val="both"/>
        <w:rPr>
          <w:szCs w:val="28"/>
        </w:rPr>
      </w:pPr>
      <w:r w:rsidRPr="00223585">
        <w:rPr>
          <w:szCs w:val="28"/>
        </w:rPr>
        <w:t>Контрольными мероприятиями было охвачено 5 объектов проверки.</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pacing w:val="4"/>
          <w:sz w:val="28"/>
          <w:szCs w:val="28"/>
        </w:rPr>
        <w:t>Осуществление экспертно-аналитических мероприятий, направленных, прежде всего, на предотвращение нарушений в финансово-бюджетной сфере, является важным направлением в деятельности Счётной палаты.</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Как видно из диаграммы показатели проведенных экспертно- аналитических мероприятий имеют ежегодный рост. Усиление аналитической составляющей деятельности Счётной палаты связано, прежде всего, с изменениями законодательства, ориентирующими на оценку эффективности бюджетных расходов и предотвращение финансовых нарушений до осуществления контрольных действий.</w:t>
      </w:r>
      <w:r w:rsidRPr="00223585">
        <w:rPr>
          <w:rFonts w:ascii="Times New Roman" w:hAnsi="Times New Roman"/>
          <w:spacing w:val="4"/>
          <w:sz w:val="28"/>
          <w:szCs w:val="28"/>
        </w:rPr>
        <w:t xml:space="preserve"> </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 xml:space="preserve">Показатели деятельности Счётной палаты, характеризующие количество проведенных контрольных мероприятий, соответствуют средним, сложившимся за последние годы. </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В целях обеспечения единообразия при оценке установленных в ходе контрольных действий нарушений ведется апробация Классификатора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Данным классификатором введен новый подход, предусматривающий классификацию нарушений, как по количественным, так и по стоимостным параметрам в зависимости от вида нарушений.</w:t>
      </w:r>
    </w:p>
    <w:p w:rsidR="00223585" w:rsidRDefault="00223585" w:rsidP="00223585">
      <w:pPr>
        <w:pStyle w:val="af"/>
        <w:spacing w:before="0" w:beforeAutospacing="0" w:after="0" w:afterAutospacing="0"/>
        <w:ind w:left="709"/>
        <w:jc w:val="both"/>
        <w:rPr>
          <w:rFonts w:ascii="Times New Roman" w:hAnsi="Times New Roman"/>
          <w:sz w:val="28"/>
          <w:szCs w:val="28"/>
          <w:lang w:val="ru-RU"/>
        </w:rPr>
      </w:pPr>
      <w:r w:rsidRPr="00223585">
        <w:rPr>
          <w:rFonts w:ascii="Times New Roman" w:hAnsi="Times New Roman"/>
          <w:sz w:val="28"/>
          <w:szCs w:val="28"/>
        </w:rPr>
        <w:t>Данные по количественным показателям представлены в диаграмме</w:t>
      </w:r>
      <w:r>
        <w:rPr>
          <w:rFonts w:ascii="Times New Roman" w:hAnsi="Times New Roman"/>
          <w:sz w:val="28"/>
          <w:szCs w:val="28"/>
          <w:lang w:val="ru-RU"/>
        </w:rPr>
        <w:t>2</w:t>
      </w:r>
      <w:r w:rsidRPr="00223585">
        <w:rPr>
          <w:rFonts w:ascii="Times New Roman" w:hAnsi="Times New Roman"/>
          <w:sz w:val="28"/>
          <w:szCs w:val="28"/>
        </w:rPr>
        <w:t>:</w:t>
      </w:r>
    </w:p>
    <w:p w:rsidR="00223585" w:rsidRDefault="00223585" w:rsidP="00223585">
      <w:pPr>
        <w:pStyle w:val="af"/>
        <w:spacing w:before="0" w:beforeAutospacing="0" w:after="0" w:afterAutospacing="0"/>
        <w:ind w:left="709"/>
        <w:jc w:val="both"/>
        <w:rPr>
          <w:rFonts w:ascii="Times New Roman" w:hAnsi="Times New Roman"/>
          <w:sz w:val="28"/>
          <w:szCs w:val="28"/>
          <w:lang w:val="ru-RU"/>
        </w:rPr>
      </w:pPr>
    </w:p>
    <w:p w:rsidR="00223585" w:rsidRDefault="00223585" w:rsidP="00223585">
      <w:pPr>
        <w:pStyle w:val="af"/>
        <w:spacing w:before="0" w:beforeAutospacing="0" w:after="0" w:afterAutospacing="0"/>
        <w:ind w:left="709"/>
        <w:jc w:val="both"/>
        <w:rPr>
          <w:rFonts w:ascii="Times New Roman" w:hAnsi="Times New Roman"/>
          <w:sz w:val="28"/>
          <w:szCs w:val="28"/>
          <w:lang w:val="ru-RU"/>
        </w:rPr>
      </w:pPr>
    </w:p>
    <w:p w:rsidR="00223585" w:rsidRDefault="00223585" w:rsidP="00223585">
      <w:pPr>
        <w:pStyle w:val="af"/>
        <w:spacing w:before="0" w:beforeAutospacing="0" w:after="0" w:afterAutospacing="0"/>
        <w:ind w:left="709"/>
        <w:jc w:val="both"/>
        <w:rPr>
          <w:rFonts w:ascii="Times New Roman" w:hAnsi="Times New Roman"/>
          <w:sz w:val="28"/>
          <w:szCs w:val="28"/>
          <w:lang w:val="ru-RU"/>
        </w:rPr>
      </w:pPr>
    </w:p>
    <w:p w:rsidR="00223585" w:rsidRDefault="00223585" w:rsidP="00223585">
      <w:pPr>
        <w:pStyle w:val="af"/>
        <w:spacing w:before="0" w:beforeAutospacing="0" w:after="0" w:afterAutospacing="0"/>
        <w:ind w:left="709"/>
        <w:jc w:val="both"/>
        <w:rPr>
          <w:rFonts w:ascii="Times New Roman" w:hAnsi="Times New Roman"/>
          <w:sz w:val="28"/>
          <w:szCs w:val="28"/>
          <w:lang w:val="ru-RU"/>
        </w:rPr>
      </w:pPr>
    </w:p>
    <w:p w:rsidR="00223585" w:rsidRDefault="00223585" w:rsidP="00223585">
      <w:pPr>
        <w:pStyle w:val="af"/>
        <w:spacing w:before="0" w:beforeAutospacing="0" w:after="0" w:afterAutospacing="0"/>
        <w:ind w:left="709"/>
        <w:jc w:val="both"/>
        <w:rPr>
          <w:rFonts w:ascii="Times New Roman" w:hAnsi="Times New Roman"/>
          <w:sz w:val="28"/>
          <w:szCs w:val="28"/>
          <w:lang w:val="ru-RU"/>
        </w:rPr>
      </w:pPr>
    </w:p>
    <w:p w:rsidR="00223585" w:rsidRDefault="00223585" w:rsidP="00223585">
      <w:pPr>
        <w:pStyle w:val="af"/>
        <w:spacing w:before="0" w:beforeAutospacing="0" w:after="0" w:afterAutospacing="0"/>
        <w:ind w:left="709"/>
        <w:jc w:val="both"/>
        <w:rPr>
          <w:rFonts w:ascii="Times New Roman" w:hAnsi="Times New Roman"/>
          <w:sz w:val="28"/>
          <w:szCs w:val="28"/>
          <w:lang w:val="ru-RU"/>
        </w:rPr>
      </w:pPr>
    </w:p>
    <w:p w:rsidR="00223585" w:rsidRPr="00223585" w:rsidRDefault="00223585" w:rsidP="00223585">
      <w:pPr>
        <w:pStyle w:val="af"/>
        <w:spacing w:before="0" w:beforeAutospacing="0" w:after="0" w:afterAutospacing="0"/>
        <w:ind w:left="709"/>
        <w:jc w:val="both"/>
        <w:rPr>
          <w:rFonts w:ascii="Times New Roman" w:hAnsi="Times New Roman"/>
          <w:sz w:val="28"/>
          <w:szCs w:val="28"/>
          <w:lang w:val="ru-RU"/>
        </w:rPr>
      </w:pPr>
    </w:p>
    <w:p w:rsidR="00223585" w:rsidRPr="00223585" w:rsidRDefault="00223585" w:rsidP="00223585">
      <w:pPr>
        <w:pStyle w:val="af"/>
        <w:spacing w:before="0" w:beforeAutospacing="0" w:after="0" w:afterAutospacing="0"/>
        <w:jc w:val="right"/>
        <w:rPr>
          <w:rFonts w:ascii="Times New Roman" w:hAnsi="Times New Roman"/>
          <w:sz w:val="28"/>
          <w:szCs w:val="28"/>
        </w:rPr>
      </w:pPr>
      <w:r w:rsidRPr="00223585">
        <w:rPr>
          <w:rFonts w:ascii="Times New Roman" w:hAnsi="Times New Roman"/>
          <w:sz w:val="28"/>
          <w:szCs w:val="28"/>
        </w:rPr>
        <w:lastRenderedPageBreak/>
        <w:t xml:space="preserve">Диаграмма 2 </w:t>
      </w:r>
    </w:p>
    <w:p w:rsidR="00223585" w:rsidRDefault="00B5067A" w:rsidP="00223585">
      <w:pPr>
        <w:pStyle w:val="af"/>
        <w:spacing w:before="0" w:beforeAutospacing="0" w:after="0" w:afterAutospacing="0"/>
        <w:jc w:val="both"/>
        <w:rPr>
          <w:sz w:val="28"/>
          <w:szCs w:val="28"/>
        </w:rPr>
      </w:pPr>
      <w:r>
        <w:rPr>
          <w:noProof/>
          <w:sz w:val="28"/>
          <w:szCs w:val="28"/>
          <w:lang w:val="ru-RU" w:eastAsia="ru-RU"/>
        </w:rPr>
        <w:drawing>
          <wp:inline distT="0" distB="0" distL="0" distR="0">
            <wp:extent cx="5864876" cy="3161038"/>
            <wp:effectExtent l="12179" t="6090" r="3045" b="1522"/>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3585" w:rsidRDefault="00223585" w:rsidP="00223585">
      <w:pPr>
        <w:pStyle w:val="af"/>
        <w:spacing w:before="0" w:beforeAutospacing="0" w:after="0" w:afterAutospacing="0"/>
        <w:jc w:val="both"/>
        <w:rPr>
          <w:sz w:val="28"/>
          <w:szCs w:val="28"/>
        </w:rPr>
      </w:pP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 xml:space="preserve">Нарушения по стоимостным показателям установлены в сфере ведения бухгалтерского учета, составления и представления бухгалтерской (финансовой) отчетности  в 3 случаях или 8712,6 тыс. рублей.   </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Выявленные нарушения в сфере закупок классифицированы по 6 случаям, или  288,1 тыс. рублей. Следует отметить, что аудит в сфере закупок, который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проводится в рамках каждого контрольного мероприятия.</w:t>
      </w:r>
    </w:p>
    <w:p w:rsidR="00223585" w:rsidRPr="00223585" w:rsidRDefault="00223585" w:rsidP="00223585">
      <w:pPr>
        <w:pStyle w:val="af"/>
        <w:spacing w:before="0" w:beforeAutospacing="0" w:after="0" w:afterAutospacing="0"/>
        <w:ind w:firstLine="709"/>
        <w:jc w:val="both"/>
        <w:rPr>
          <w:rFonts w:ascii="Times New Roman" w:hAnsi="Times New Roman"/>
        </w:rPr>
      </w:pPr>
      <w:r w:rsidRPr="00223585">
        <w:rPr>
          <w:rFonts w:ascii="Times New Roman" w:hAnsi="Times New Roman"/>
          <w:sz w:val="28"/>
          <w:szCs w:val="28"/>
        </w:rPr>
        <w:t xml:space="preserve">В стоимостном измерении согласно введенной классификации общая сумма выявленных нарушений составила 9000,7 тыс. рублей, при этом случаев нецелевого использования бюджетных средств в отчетном периоде, как и в 2015- 2016 годах не установлено. В основном это связано с повышением ответственности получателей бюджетных средств и результативностью работы Счётной палаты. </w:t>
      </w:r>
      <w:r w:rsidRPr="00223585">
        <w:rPr>
          <w:rFonts w:ascii="Times New Roman" w:hAnsi="Times New Roman"/>
        </w:rPr>
        <w:t xml:space="preserve">                                            </w:t>
      </w:r>
    </w:p>
    <w:p w:rsidR="00223585" w:rsidRPr="00223585" w:rsidRDefault="00223585" w:rsidP="00223585">
      <w:pPr>
        <w:tabs>
          <w:tab w:val="left" w:pos="709"/>
        </w:tabs>
        <w:ind w:firstLine="709"/>
        <w:jc w:val="both"/>
        <w:rPr>
          <w:szCs w:val="28"/>
        </w:rPr>
      </w:pPr>
      <w:r w:rsidRPr="00223585">
        <w:rPr>
          <w:szCs w:val="28"/>
        </w:rPr>
        <w:t>Следует отметить, что вышеуказанным Классификатором нарушений не предусмотрено такой группы нарушений, как неэффективные расходы. О</w:t>
      </w:r>
      <w:r w:rsidRPr="00223585">
        <w:rPr>
          <w:szCs w:val="28"/>
        </w:rPr>
        <w:t>д</w:t>
      </w:r>
      <w:r w:rsidRPr="00223585">
        <w:rPr>
          <w:szCs w:val="28"/>
        </w:rPr>
        <w:t>нако, как показали результаты проведенных контрольных мероприятий, имеется н</w:t>
      </w:r>
      <w:r w:rsidRPr="00223585">
        <w:rPr>
          <w:szCs w:val="28"/>
        </w:rPr>
        <w:t>е</w:t>
      </w:r>
      <w:r w:rsidRPr="00223585">
        <w:rPr>
          <w:szCs w:val="28"/>
        </w:rPr>
        <w:t>соблюдение принципа эффективности использования бюджетных средств, о</w:t>
      </w:r>
      <w:r w:rsidRPr="00223585">
        <w:rPr>
          <w:szCs w:val="28"/>
        </w:rPr>
        <w:t>п</w:t>
      </w:r>
      <w:r w:rsidRPr="00223585">
        <w:rPr>
          <w:szCs w:val="28"/>
        </w:rPr>
        <w:t>ределенного статьей 34 Бюджетного кодекса Российской Федерации. В 2017 году объем неэффективных расходов сост</w:t>
      </w:r>
      <w:r w:rsidRPr="00223585">
        <w:rPr>
          <w:szCs w:val="28"/>
        </w:rPr>
        <w:t>а</w:t>
      </w:r>
      <w:r w:rsidRPr="00223585">
        <w:rPr>
          <w:szCs w:val="28"/>
        </w:rPr>
        <w:t>вил 644,7 тыс. рублей. Учитывая, что неэффективное использование бюджетных средств не влечет реальной ответс</w:t>
      </w:r>
      <w:r w:rsidRPr="00223585">
        <w:rPr>
          <w:szCs w:val="28"/>
        </w:rPr>
        <w:t>т</w:t>
      </w:r>
      <w:r w:rsidRPr="00223585">
        <w:rPr>
          <w:szCs w:val="28"/>
        </w:rPr>
        <w:t>венности, зачастую является не устранимым, но во всех случаях свидетельств</w:t>
      </w:r>
      <w:r w:rsidRPr="00223585">
        <w:rPr>
          <w:szCs w:val="28"/>
        </w:rPr>
        <w:t>у</w:t>
      </w:r>
      <w:r w:rsidRPr="00223585">
        <w:rPr>
          <w:szCs w:val="28"/>
        </w:rPr>
        <w:t>ет об упущениях, имевших место при принятии управленческих решений, Счетная палата и в дальнейшем будет обращать внимание на факты неэффе</w:t>
      </w:r>
      <w:r w:rsidRPr="00223585">
        <w:rPr>
          <w:szCs w:val="28"/>
        </w:rPr>
        <w:t>к</w:t>
      </w:r>
      <w:r w:rsidRPr="00223585">
        <w:rPr>
          <w:szCs w:val="28"/>
        </w:rPr>
        <w:t>тивных бю</w:t>
      </w:r>
      <w:r w:rsidRPr="00223585">
        <w:rPr>
          <w:szCs w:val="28"/>
        </w:rPr>
        <w:t>д</w:t>
      </w:r>
      <w:r w:rsidRPr="00223585">
        <w:rPr>
          <w:szCs w:val="28"/>
        </w:rPr>
        <w:t>жетных расходов.</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highlight w:val="yellow"/>
        </w:rPr>
      </w:pPr>
    </w:p>
    <w:p w:rsidR="00223585" w:rsidRPr="00223585" w:rsidRDefault="00223585" w:rsidP="00223585">
      <w:pPr>
        <w:pStyle w:val="af"/>
        <w:spacing w:before="0" w:beforeAutospacing="0" w:after="0" w:afterAutospacing="0"/>
        <w:ind w:firstLine="709"/>
        <w:jc w:val="both"/>
        <w:rPr>
          <w:rFonts w:ascii="Times New Roman" w:hAnsi="Times New Roman"/>
          <w:noProof/>
        </w:rPr>
      </w:pPr>
      <w:r w:rsidRPr="00223585">
        <w:rPr>
          <w:rFonts w:ascii="Times New Roman" w:hAnsi="Times New Roman"/>
          <w:sz w:val="28"/>
          <w:szCs w:val="28"/>
        </w:rPr>
        <w:lastRenderedPageBreak/>
        <w:t>За период 2015-2017 г. динамика выявленных нарушений носит нестабильный  характер (диаграмма 3).</w:t>
      </w:r>
    </w:p>
    <w:p w:rsidR="00223585" w:rsidRPr="00223585" w:rsidRDefault="00223585" w:rsidP="00223585">
      <w:pPr>
        <w:pStyle w:val="af"/>
        <w:spacing w:before="0" w:beforeAutospacing="0" w:after="0" w:afterAutospacing="0"/>
        <w:jc w:val="right"/>
        <w:rPr>
          <w:rFonts w:ascii="Times New Roman" w:hAnsi="Times New Roman"/>
          <w:sz w:val="28"/>
          <w:szCs w:val="28"/>
        </w:rPr>
      </w:pPr>
      <w:r w:rsidRPr="00223585">
        <w:rPr>
          <w:rFonts w:ascii="Times New Roman" w:hAnsi="Times New Roman"/>
          <w:sz w:val="28"/>
          <w:szCs w:val="28"/>
        </w:rPr>
        <w:t xml:space="preserve">Диаграмма 3 </w:t>
      </w:r>
    </w:p>
    <w:p w:rsidR="00223585" w:rsidRPr="003D56E3" w:rsidRDefault="00223585" w:rsidP="00223585">
      <w:pPr>
        <w:jc w:val="center"/>
        <w:rPr>
          <w:szCs w:val="28"/>
        </w:rPr>
      </w:pPr>
      <w:r w:rsidRPr="003D56E3">
        <w:rPr>
          <w:szCs w:val="28"/>
        </w:rPr>
        <w:t xml:space="preserve">Динамика объемов неэффективного использования,  </w:t>
      </w:r>
      <w:r w:rsidRPr="003D56E3">
        <w:t>тыс. рублей</w:t>
      </w:r>
    </w:p>
    <w:p w:rsidR="00223585" w:rsidRPr="003D56E3" w:rsidRDefault="00223585" w:rsidP="00223585">
      <w:pPr>
        <w:pStyle w:val="af"/>
        <w:spacing w:before="0" w:beforeAutospacing="0" w:after="0" w:afterAutospacing="0"/>
        <w:jc w:val="both"/>
        <w:rPr>
          <w:noProof/>
        </w:rPr>
      </w:pPr>
      <w:r w:rsidRPr="003D56E3">
        <w:t> </w:t>
      </w:r>
    </w:p>
    <w:p w:rsidR="00223585" w:rsidRDefault="00B5067A" w:rsidP="00223585">
      <w:pPr>
        <w:pStyle w:val="af"/>
        <w:spacing w:before="0" w:beforeAutospacing="0" w:after="0" w:afterAutospacing="0"/>
        <w:jc w:val="both"/>
        <w:rPr>
          <w:noProof/>
          <w:highlight w:val="yellow"/>
        </w:rPr>
      </w:pPr>
      <w:r>
        <w:rPr>
          <w:noProof/>
          <w:lang w:val="ru-RU" w:eastAsia="ru-RU"/>
        </w:rPr>
        <w:drawing>
          <wp:inline distT="0" distB="0" distL="0" distR="0">
            <wp:extent cx="6038919" cy="2832798"/>
            <wp:effectExtent l="12994" t="6287" r="8527"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3585" w:rsidRPr="007B6999" w:rsidRDefault="00223585" w:rsidP="00223585">
      <w:pPr>
        <w:pStyle w:val="af"/>
        <w:spacing w:before="0" w:beforeAutospacing="0" w:after="0" w:afterAutospacing="0"/>
        <w:jc w:val="both"/>
        <w:rPr>
          <w:highlight w:val="yellow"/>
        </w:rPr>
      </w:pP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 xml:space="preserve">В зависимости от характера выявленных недостатков и нарушений строилась работа,  направленная на их устранение, принимались соответствующие меры в рамках установленной компетенции и предоставленных полномочий. В ряде случаев устранение нарушений осуществлялось непосредственно в ходе контрольных мероприятий. В 2017 году Счётной палатой в адрес объектов контроля направлено 5 предложений, содержащихся в представлениях. На дату составления настоящего Отчета исполнены все представления. </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 xml:space="preserve">Важнейшим мероприятием, полномочиями на проведение которого в соответствии с Бюджетным кодексом Российской Федерации наделены органы внешнего финансового контроля является проведение внешней проверки годового отчета об исполнении бюджета. Данное мероприятие является особой формой контроля, включающей проведение как экспертно-аналитических, так и контрольных мероприятий.  В соответствии с требованиями бюджетного законодательства в 2017 году Счётной палатой проведена внешняя проверка бюджетной отчетности за 2016 год двенадцати главных администраторов средств бюджета. По итогам проверки достоверность отчетности в целом подтверждена. Вместе с тем, были выявлены нарушения и недостатки, такие как: несоответствие плановых показателей, указанных в бюджетной отчетности, показателям бюджета; внутренняя несогласованность между формами бюджетной отчетности и иные замечания по оформлению отчетности и отражению информации в пояснительных записках к отчетам. </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 xml:space="preserve">Эффективность работы Счётной палаты характеризуется исполнением ее предложений по материалам проведенных мероприятий. С целью обеспечения контроля, дальнейшего недопущения нарушений информационные письма и отчеты о результатах контрольных мероприятий в обязательном порядке </w:t>
      </w:r>
      <w:r w:rsidRPr="00223585">
        <w:rPr>
          <w:rFonts w:ascii="Times New Roman" w:hAnsi="Times New Roman"/>
          <w:sz w:val="28"/>
          <w:szCs w:val="28"/>
        </w:rPr>
        <w:lastRenderedPageBreak/>
        <w:t xml:space="preserve">направлялись в Думу Маловишерского муниципального района, Главе муниципального района. </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 xml:space="preserve">Рекомендации Счётной палаты учитывались при принятии муниципальных нормативных правовых актов. За 2017 год рассмотрены и положительно решены вопросы по 149 предложениям Счетной палаты, указанным в заключениях, что составляет 93,2 процента от общего количества направленных предложений. </w:t>
      </w:r>
    </w:p>
    <w:p w:rsidR="00223585" w:rsidRDefault="00223585" w:rsidP="00223585">
      <w:pPr>
        <w:pStyle w:val="af"/>
        <w:spacing w:before="0" w:beforeAutospacing="0" w:after="0" w:afterAutospacing="0"/>
        <w:ind w:firstLine="709"/>
        <w:jc w:val="both"/>
        <w:rPr>
          <w:rFonts w:ascii="Times New Roman" w:hAnsi="Times New Roman"/>
          <w:b/>
          <w:sz w:val="28"/>
          <w:szCs w:val="28"/>
          <w:lang w:val="ru-RU"/>
        </w:rPr>
      </w:pPr>
    </w:p>
    <w:p w:rsidR="00223585" w:rsidRPr="00223585" w:rsidRDefault="00223585" w:rsidP="00223585">
      <w:pPr>
        <w:pStyle w:val="af"/>
        <w:spacing w:before="0" w:beforeAutospacing="0" w:after="0" w:afterAutospacing="0"/>
        <w:ind w:firstLine="709"/>
        <w:jc w:val="both"/>
        <w:rPr>
          <w:rFonts w:ascii="Times New Roman" w:hAnsi="Times New Roman"/>
          <w:b/>
          <w:sz w:val="28"/>
          <w:szCs w:val="28"/>
        </w:rPr>
      </w:pPr>
      <w:r w:rsidRPr="00223585">
        <w:rPr>
          <w:rFonts w:ascii="Times New Roman" w:hAnsi="Times New Roman"/>
          <w:b/>
          <w:sz w:val="28"/>
          <w:szCs w:val="28"/>
        </w:rPr>
        <w:t>Результаты экспертно-аналитической деятельности</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Проведение экспертно-аналитических мероприятий становится преимущественным направлением в деятельности Счётной палаты, которое реализуется посредством  проведения экспертизы проектов решений Думы Маловишерского муниципального района, решений Советов депутатов городских и сельских поселений о бюджете,  внешней проверки годового отчета об и</w:t>
      </w:r>
      <w:r w:rsidRPr="00223585">
        <w:rPr>
          <w:rFonts w:ascii="Times New Roman" w:hAnsi="Times New Roman"/>
          <w:sz w:val="28"/>
          <w:szCs w:val="28"/>
        </w:rPr>
        <w:t>с</w:t>
      </w:r>
      <w:r w:rsidRPr="00223585">
        <w:rPr>
          <w:rFonts w:ascii="Times New Roman" w:hAnsi="Times New Roman"/>
          <w:sz w:val="28"/>
          <w:szCs w:val="28"/>
        </w:rPr>
        <w:t>полнении соответствующих бюджетов, финансово-экономической экспертизы проектов муниципальных программ, а также подготовки иных аналитич</w:t>
      </w:r>
      <w:r w:rsidRPr="00223585">
        <w:rPr>
          <w:rFonts w:ascii="Times New Roman" w:hAnsi="Times New Roman"/>
          <w:sz w:val="28"/>
          <w:szCs w:val="28"/>
        </w:rPr>
        <w:t>е</w:t>
      </w:r>
      <w:r w:rsidRPr="00223585">
        <w:rPr>
          <w:rFonts w:ascii="Times New Roman" w:hAnsi="Times New Roman"/>
          <w:sz w:val="28"/>
          <w:szCs w:val="28"/>
        </w:rPr>
        <w:t>ских материалов.</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За 2017 год проведено 160 экспертиз (на проекты решений Думы и Советов депутатов – 53,  по проектам муниципальных программ и внесения изменений в муниципальные программы– 107). Следовательно, большую часть экспертиз в отчетном году составляла финансово-экономическая экспертиза проектов, принимаемых муниципальных программ  и вносящих в них изменений.</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Заключения Счётной палаты в установленном порядке направлены в Думу Маловишерского муниципального района, в Советы депутатов поселений, соответствующим разработчикам проектов.</w:t>
      </w:r>
    </w:p>
    <w:p w:rsidR="00223585" w:rsidRDefault="00223585" w:rsidP="00223585">
      <w:pPr>
        <w:pStyle w:val="af"/>
        <w:spacing w:before="0" w:beforeAutospacing="0" w:after="0" w:afterAutospacing="0"/>
        <w:ind w:firstLine="709"/>
        <w:jc w:val="both"/>
        <w:rPr>
          <w:rFonts w:ascii="Times New Roman" w:hAnsi="Times New Roman"/>
          <w:b/>
          <w:sz w:val="28"/>
          <w:szCs w:val="28"/>
          <w:lang w:val="ru-RU"/>
        </w:rPr>
      </w:pPr>
    </w:p>
    <w:p w:rsidR="00223585" w:rsidRPr="00223585" w:rsidRDefault="00223585" w:rsidP="00223585">
      <w:pPr>
        <w:pStyle w:val="af"/>
        <w:spacing w:before="0" w:beforeAutospacing="0" w:after="0" w:afterAutospacing="0"/>
        <w:ind w:firstLine="709"/>
        <w:jc w:val="both"/>
        <w:rPr>
          <w:rFonts w:ascii="Times New Roman" w:hAnsi="Times New Roman"/>
          <w:b/>
          <w:sz w:val="28"/>
          <w:szCs w:val="28"/>
        </w:rPr>
      </w:pPr>
      <w:r w:rsidRPr="00223585">
        <w:rPr>
          <w:rFonts w:ascii="Times New Roman" w:hAnsi="Times New Roman"/>
          <w:b/>
          <w:sz w:val="28"/>
          <w:szCs w:val="28"/>
        </w:rPr>
        <w:t>Результаты контрольной деятельности</w:t>
      </w:r>
    </w:p>
    <w:p w:rsidR="00223585" w:rsidRPr="00223585" w:rsidRDefault="00223585" w:rsidP="00223585">
      <w:pPr>
        <w:pStyle w:val="af5"/>
        <w:ind w:firstLine="709"/>
        <w:jc w:val="both"/>
        <w:rPr>
          <w:sz w:val="28"/>
          <w:szCs w:val="28"/>
        </w:rPr>
      </w:pPr>
      <w:r w:rsidRPr="00223585">
        <w:rPr>
          <w:sz w:val="28"/>
          <w:szCs w:val="28"/>
        </w:rPr>
        <w:t>Контрольные мероприятия проводились в соответствии с утвержденным годовым планом работы Счётной палаты. В 2017 году контрольная деятел</w:t>
      </w:r>
      <w:r w:rsidRPr="00223585">
        <w:rPr>
          <w:sz w:val="28"/>
          <w:szCs w:val="28"/>
        </w:rPr>
        <w:t>ь</w:t>
      </w:r>
      <w:r w:rsidRPr="00223585">
        <w:rPr>
          <w:sz w:val="28"/>
          <w:szCs w:val="28"/>
        </w:rPr>
        <w:t>ность, как и в предыдущие годы, была направлена на проведение проверок ц</w:t>
      </w:r>
      <w:r w:rsidRPr="00223585">
        <w:rPr>
          <w:sz w:val="28"/>
          <w:szCs w:val="28"/>
        </w:rPr>
        <w:t>е</w:t>
      </w:r>
      <w:r w:rsidRPr="00223585">
        <w:rPr>
          <w:sz w:val="28"/>
          <w:szCs w:val="28"/>
        </w:rPr>
        <w:t>левого и эффективного использования средств, при реализации муниципал</w:t>
      </w:r>
      <w:r w:rsidRPr="00223585">
        <w:rPr>
          <w:sz w:val="28"/>
          <w:szCs w:val="28"/>
        </w:rPr>
        <w:t>ь</w:t>
      </w:r>
      <w:r w:rsidRPr="00223585">
        <w:rPr>
          <w:sz w:val="28"/>
          <w:szCs w:val="28"/>
        </w:rPr>
        <w:t xml:space="preserve">ных программ, осуществления муниципальных закупок. </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Выявленные нарушения отражены в отчетах Счётной палаты и доведены до должностных лиц объектов проверок.</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Общая сумма  охваченных проверками бюджетных средств  составила 34183,75 тыс. рублей. Сумма нарушений, установленная в ходе проверок -  9645,4 тыс. рублей, или 28 процентов.</w:t>
      </w:r>
    </w:p>
    <w:p w:rsidR="00223585" w:rsidRPr="00223585" w:rsidRDefault="00223585" w:rsidP="00223585">
      <w:pPr>
        <w:pStyle w:val="af"/>
        <w:spacing w:before="0" w:beforeAutospacing="0" w:after="0" w:afterAutospacing="0"/>
        <w:ind w:firstLine="709"/>
        <w:jc w:val="both"/>
        <w:rPr>
          <w:rFonts w:ascii="Times New Roman" w:eastAsia="Calibri" w:hAnsi="Times New Roman"/>
          <w:sz w:val="28"/>
          <w:szCs w:val="28"/>
          <w:lang w:eastAsia="en-US"/>
        </w:rPr>
      </w:pPr>
      <w:r w:rsidRPr="00223585">
        <w:rPr>
          <w:rFonts w:ascii="Times New Roman" w:eastAsia="Calibri" w:hAnsi="Times New Roman"/>
          <w:sz w:val="28"/>
          <w:szCs w:val="28"/>
          <w:lang w:eastAsia="en-US"/>
        </w:rPr>
        <w:t>Информация о выявленных  нарушениях в  2017 году приведена в приложении.</w:t>
      </w:r>
    </w:p>
    <w:p w:rsidR="00223585" w:rsidRPr="00223585" w:rsidRDefault="00223585" w:rsidP="00223585">
      <w:pPr>
        <w:pStyle w:val="af"/>
        <w:spacing w:before="0" w:beforeAutospacing="0" w:after="0" w:afterAutospacing="0"/>
        <w:ind w:firstLine="709"/>
        <w:jc w:val="both"/>
        <w:rPr>
          <w:rFonts w:ascii="Times New Roman" w:eastAsia="Calibri" w:hAnsi="Times New Roman"/>
          <w:sz w:val="28"/>
          <w:szCs w:val="28"/>
          <w:lang w:eastAsia="en-US"/>
        </w:rPr>
      </w:pPr>
      <w:r w:rsidRPr="00223585">
        <w:rPr>
          <w:rFonts w:ascii="Times New Roman" w:eastAsia="Calibri" w:hAnsi="Times New Roman"/>
          <w:sz w:val="28"/>
          <w:szCs w:val="28"/>
          <w:lang w:eastAsia="en-US"/>
        </w:rPr>
        <w:t xml:space="preserve">В суммовом выражении </w:t>
      </w:r>
      <w:r w:rsidRPr="00223585">
        <w:rPr>
          <w:rFonts w:ascii="Times New Roman" w:eastAsia="Calibri" w:hAnsi="Times New Roman"/>
          <w:sz w:val="28"/>
          <w:szCs w:val="28"/>
          <w:u w:val="single"/>
          <w:lang w:eastAsia="en-US"/>
        </w:rPr>
        <w:t>значительное нарушение установлено в сфере физической культуры</w:t>
      </w:r>
      <w:r w:rsidRPr="00223585">
        <w:rPr>
          <w:rFonts w:ascii="Times New Roman" w:eastAsia="Calibri" w:hAnsi="Times New Roman"/>
          <w:sz w:val="28"/>
          <w:szCs w:val="28"/>
          <w:lang w:eastAsia="en-US"/>
        </w:rPr>
        <w:t xml:space="preserve">.  </w:t>
      </w:r>
      <w:r w:rsidRPr="00223585">
        <w:rPr>
          <w:rFonts w:ascii="Times New Roman" w:hAnsi="Times New Roman"/>
          <w:sz w:val="28"/>
          <w:szCs w:val="28"/>
        </w:rPr>
        <w:t xml:space="preserve">Проводя  совместное контрольное мероприятие по вопросу эффективности расходования муниципальными учреждениями бюджетных средств на оплату жилищно-коммунальных услуг, а также на мероприятия в области энергосбережения и энергетической эффективности в МАУ ДЮСШ «АРЕНА МВ было установлено грубое нарушение требований к </w:t>
      </w:r>
      <w:r w:rsidRPr="00223585">
        <w:rPr>
          <w:rFonts w:ascii="Times New Roman" w:hAnsi="Times New Roman"/>
          <w:sz w:val="28"/>
          <w:szCs w:val="28"/>
        </w:rPr>
        <w:lastRenderedPageBreak/>
        <w:t>бухгалтерскому учету, выразившееся в принятии к учету основного средства  (спортивного зала)  стоимостью 5031,6 тыс. рублей, без оформления первичных документов и отсутствия права на помещение с 2011 года, регистр</w:t>
      </w:r>
      <w:r w:rsidRPr="00223585">
        <w:rPr>
          <w:rFonts w:ascii="Times New Roman" w:hAnsi="Times New Roman"/>
          <w:sz w:val="28"/>
          <w:szCs w:val="28"/>
        </w:rPr>
        <w:t>а</w:t>
      </w:r>
      <w:r w:rsidRPr="00223585">
        <w:rPr>
          <w:rFonts w:ascii="Times New Roman" w:hAnsi="Times New Roman"/>
          <w:sz w:val="28"/>
          <w:szCs w:val="28"/>
        </w:rPr>
        <w:t xml:space="preserve">ция права была осуществлена только в период проверки. </w:t>
      </w:r>
      <w:r w:rsidRPr="00223585">
        <w:rPr>
          <w:rFonts w:ascii="Times New Roman" w:hAnsi="Times New Roman"/>
        </w:rPr>
        <w:t xml:space="preserve"> </w:t>
      </w:r>
      <w:r w:rsidRPr="00223585">
        <w:rPr>
          <w:rFonts w:ascii="Times New Roman" w:hAnsi="Times New Roman"/>
          <w:sz w:val="28"/>
          <w:szCs w:val="28"/>
        </w:rPr>
        <w:t xml:space="preserve">Кроме того, установлено неэффективное использование бюджетных средств в сумме 60,0 тыс. рублей. </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На основании результатов проведенной проверки осуществлен мониторинг состояния бухгалтерского учета в муниципальных учреждениях Маловишерского муниципального района, подведомственных комитету культуры Администрации Маловишерского муниципального района, в результате которого установлено аналогичное нарушение  в муниципальном бюджетном учреждении культуры «Межпоселенческий методический центр народного творчества и культурно-досуговой деятельности Маловишерского муниц</w:t>
      </w:r>
      <w:r w:rsidRPr="00223585">
        <w:rPr>
          <w:rFonts w:ascii="Times New Roman" w:hAnsi="Times New Roman"/>
          <w:sz w:val="28"/>
          <w:szCs w:val="28"/>
        </w:rPr>
        <w:t>и</w:t>
      </w:r>
      <w:r w:rsidRPr="00223585">
        <w:rPr>
          <w:rFonts w:ascii="Times New Roman" w:hAnsi="Times New Roman"/>
          <w:sz w:val="28"/>
          <w:szCs w:val="28"/>
        </w:rPr>
        <w:t xml:space="preserve">пального района» в суммовом выражении 3681,0 тыс. рублей. </w:t>
      </w:r>
    </w:p>
    <w:p w:rsidR="00223585" w:rsidRPr="00223585" w:rsidRDefault="00223585" w:rsidP="00223585">
      <w:pPr>
        <w:tabs>
          <w:tab w:val="left" w:pos="709"/>
        </w:tabs>
        <w:ind w:firstLine="709"/>
        <w:jc w:val="both"/>
        <w:rPr>
          <w:szCs w:val="28"/>
        </w:rPr>
      </w:pPr>
      <w:r w:rsidRPr="00223585">
        <w:rPr>
          <w:szCs w:val="28"/>
        </w:rPr>
        <w:t xml:space="preserve"> По результатам проверок, в рамках реализации возложенных на Счё</w:t>
      </w:r>
      <w:r w:rsidRPr="00223585">
        <w:rPr>
          <w:szCs w:val="28"/>
        </w:rPr>
        <w:t>т</w:t>
      </w:r>
      <w:r w:rsidRPr="00223585">
        <w:rPr>
          <w:szCs w:val="28"/>
        </w:rPr>
        <w:t>ную палату полномочий в сфере административного права в отчетном периоде с</w:t>
      </w:r>
      <w:r w:rsidRPr="00223585">
        <w:rPr>
          <w:szCs w:val="28"/>
        </w:rPr>
        <w:t>о</w:t>
      </w:r>
      <w:r w:rsidRPr="00223585">
        <w:rPr>
          <w:szCs w:val="28"/>
        </w:rPr>
        <w:t>ставлено 2 протокола об административных правонарушениях  по части 1 ст</w:t>
      </w:r>
      <w:r w:rsidRPr="00223585">
        <w:rPr>
          <w:szCs w:val="28"/>
        </w:rPr>
        <w:t>а</w:t>
      </w:r>
      <w:r w:rsidRPr="00223585">
        <w:rPr>
          <w:szCs w:val="28"/>
        </w:rPr>
        <w:t>тьи 15.11 Кодекса Российской Федерации об административных правонаруш</w:t>
      </w:r>
      <w:r w:rsidRPr="00223585">
        <w:rPr>
          <w:szCs w:val="28"/>
        </w:rPr>
        <w:t>е</w:t>
      </w:r>
      <w:r w:rsidRPr="00223585">
        <w:rPr>
          <w:szCs w:val="28"/>
        </w:rPr>
        <w:t>ниях (далее – КоАП), то есть за грубое нарушение правил ведения бухгалте</w:t>
      </w:r>
      <w:r w:rsidRPr="00223585">
        <w:rPr>
          <w:szCs w:val="28"/>
        </w:rPr>
        <w:t>р</w:t>
      </w:r>
      <w:r w:rsidRPr="00223585">
        <w:rPr>
          <w:szCs w:val="28"/>
        </w:rPr>
        <w:t>ского учета и представления бухгалтерской отчетности (субъекты администр</w:t>
      </w:r>
      <w:r w:rsidRPr="00223585">
        <w:rPr>
          <w:szCs w:val="28"/>
        </w:rPr>
        <w:t>а</w:t>
      </w:r>
      <w:r w:rsidRPr="00223585">
        <w:rPr>
          <w:szCs w:val="28"/>
        </w:rPr>
        <w:t>тивных правонарушений - главные бухгалтера учреждений), по которым вын</w:t>
      </w:r>
      <w:r w:rsidRPr="00223585">
        <w:rPr>
          <w:szCs w:val="28"/>
        </w:rPr>
        <w:t>е</w:t>
      </w:r>
      <w:r w:rsidRPr="00223585">
        <w:rPr>
          <w:szCs w:val="28"/>
        </w:rPr>
        <w:t>сено н</w:t>
      </w:r>
      <w:r w:rsidRPr="00223585">
        <w:rPr>
          <w:szCs w:val="28"/>
        </w:rPr>
        <w:t>а</w:t>
      </w:r>
      <w:r w:rsidRPr="00223585">
        <w:rPr>
          <w:szCs w:val="28"/>
        </w:rPr>
        <w:t>казание в виде штрафа в размере 5000 рублей каждому.</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color w:val="000000"/>
          <w:sz w:val="28"/>
          <w:szCs w:val="28"/>
        </w:rPr>
        <w:t>Согласно статье 98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к полномочиям Счётной палаты относится осуществление аудита в сфере закупок.  В соответствии с годовым планом работы Счётной палаты на 2017 год был проведены анализ и оценка законности, целесообразности, обоснованности, своевременности, эффективности и результативности расходов на закупки товаров, работ и услуг для муниципальных нужд в Администрации Веребьинского сельского поселения. В результате данного мероприятия установлено нарушений в сумме 872,8 тыс. рублей, в т.ч. неэффективные расходы 584,7 тыс. рублей и нарушения при осуществлении муниципальных закупок в сумме 288,1 тыс. рублей.</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 xml:space="preserve">Совместно со Счётной палатой Новгородской области была осуществлена проверка полноты и достоверности сведений о недвижимом имуществе в целях исчисления имущественных налогов и достоверности прогнозирования доходной части консолидированного бюджета района. В результате данной проверки было проанализировано значительное количество нормативно-правовых актов в области имущественных налогов, проведен мониторинг использования работниками Администрации муниципального района программных продуктов с целью прогнозирования доходов района, осуществлен контроль за планом мероприятий, направленных на мобилизацию дополнительных доходов консолидированного бюджета муниципального района на 2017 год за счёт повышения эффективности налогообложения имущества.  По результатам проверки Счётной палатой было рекомендовано  </w:t>
      </w:r>
      <w:r w:rsidRPr="00223585">
        <w:rPr>
          <w:rFonts w:ascii="Times New Roman" w:hAnsi="Times New Roman"/>
          <w:sz w:val="28"/>
          <w:szCs w:val="28"/>
        </w:rPr>
        <w:lastRenderedPageBreak/>
        <w:t>обеспечить исполнение Плана мероприятий, активизировать работу по проведению земельного контроля.</w:t>
      </w:r>
    </w:p>
    <w:p w:rsidR="00223585" w:rsidRPr="00223585" w:rsidRDefault="00223585" w:rsidP="00223585">
      <w:pPr>
        <w:pStyle w:val="ConsPlusNonformat"/>
        <w:ind w:firstLine="709"/>
        <w:jc w:val="both"/>
        <w:rPr>
          <w:rFonts w:ascii="Times New Roman" w:hAnsi="Times New Roman" w:cs="Times New Roman"/>
          <w:sz w:val="28"/>
          <w:szCs w:val="28"/>
        </w:rPr>
      </w:pPr>
      <w:r w:rsidRPr="00223585">
        <w:rPr>
          <w:rFonts w:ascii="Times New Roman" w:hAnsi="Times New Roman" w:cs="Times New Roman"/>
          <w:sz w:val="28"/>
          <w:szCs w:val="28"/>
        </w:rPr>
        <w:t>Одной из составляющей работы Счётной палаты в 2017 году было уч</w:t>
      </w:r>
      <w:r w:rsidRPr="00223585">
        <w:rPr>
          <w:rFonts w:ascii="Times New Roman" w:hAnsi="Times New Roman" w:cs="Times New Roman"/>
          <w:sz w:val="28"/>
          <w:szCs w:val="28"/>
        </w:rPr>
        <w:t>а</w:t>
      </w:r>
      <w:r w:rsidRPr="00223585">
        <w:rPr>
          <w:rFonts w:ascii="Times New Roman" w:hAnsi="Times New Roman" w:cs="Times New Roman"/>
          <w:sz w:val="28"/>
          <w:szCs w:val="28"/>
        </w:rPr>
        <w:t>стие в пределах полномочий в мероприятиях, направленных на противодейс</w:t>
      </w:r>
      <w:r w:rsidRPr="00223585">
        <w:rPr>
          <w:rFonts w:ascii="Times New Roman" w:hAnsi="Times New Roman" w:cs="Times New Roman"/>
          <w:sz w:val="28"/>
          <w:szCs w:val="28"/>
        </w:rPr>
        <w:t>т</w:t>
      </w:r>
      <w:r w:rsidRPr="00223585">
        <w:rPr>
          <w:rFonts w:ascii="Times New Roman" w:hAnsi="Times New Roman" w:cs="Times New Roman"/>
          <w:sz w:val="28"/>
          <w:szCs w:val="28"/>
        </w:rPr>
        <w:t>вие коррупции. Являясь одним из исполнителей мероприятий подпрограммы «Противодействие коррупции в Маловишерском муниципальном районе» м</w:t>
      </w:r>
      <w:r w:rsidRPr="00223585">
        <w:rPr>
          <w:rFonts w:ascii="Times New Roman" w:hAnsi="Times New Roman" w:cs="Times New Roman"/>
          <w:sz w:val="28"/>
          <w:szCs w:val="28"/>
        </w:rPr>
        <w:t>у</w:t>
      </w:r>
      <w:r w:rsidRPr="00223585">
        <w:rPr>
          <w:rFonts w:ascii="Times New Roman" w:hAnsi="Times New Roman" w:cs="Times New Roman"/>
          <w:sz w:val="28"/>
          <w:szCs w:val="28"/>
        </w:rPr>
        <w:t>ниципальной программы «Совершенствование системы муниципального управления в Маловишерском муниципальном районе на 2017-2019 годы»  Счётная палата в отчетном периоде, как и ранее, обращала внимание на выя</w:t>
      </w:r>
      <w:r w:rsidRPr="00223585">
        <w:rPr>
          <w:rFonts w:ascii="Times New Roman" w:hAnsi="Times New Roman" w:cs="Times New Roman"/>
          <w:sz w:val="28"/>
          <w:szCs w:val="28"/>
        </w:rPr>
        <w:t>в</w:t>
      </w:r>
      <w:r w:rsidRPr="00223585">
        <w:rPr>
          <w:rFonts w:ascii="Times New Roman" w:hAnsi="Times New Roman" w:cs="Times New Roman"/>
          <w:sz w:val="28"/>
          <w:szCs w:val="28"/>
        </w:rPr>
        <w:t>ление признаков коррупционных правонарушений при осуществлении внешн</w:t>
      </w:r>
      <w:r w:rsidRPr="00223585">
        <w:rPr>
          <w:rFonts w:ascii="Times New Roman" w:hAnsi="Times New Roman" w:cs="Times New Roman"/>
          <w:sz w:val="28"/>
          <w:szCs w:val="28"/>
        </w:rPr>
        <w:t>е</w:t>
      </w:r>
      <w:r w:rsidRPr="00223585">
        <w:rPr>
          <w:rFonts w:ascii="Times New Roman" w:hAnsi="Times New Roman" w:cs="Times New Roman"/>
          <w:sz w:val="28"/>
          <w:szCs w:val="28"/>
        </w:rPr>
        <w:t>го муниципального финансового контроля.</w:t>
      </w:r>
    </w:p>
    <w:p w:rsidR="00223585" w:rsidRPr="00223585" w:rsidRDefault="00223585" w:rsidP="00223585">
      <w:pPr>
        <w:pStyle w:val="ConsPlusNonformat"/>
        <w:ind w:firstLine="709"/>
        <w:jc w:val="both"/>
        <w:rPr>
          <w:rFonts w:ascii="Times New Roman" w:hAnsi="Times New Roman" w:cs="Times New Roman"/>
          <w:sz w:val="28"/>
          <w:szCs w:val="28"/>
        </w:rPr>
      </w:pPr>
      <w:r w:rsidRPr="00223585">
        <w:rPr>
          <w:rFonts w:ascii="Times New Roman" w:hAnsi="Times New Roman" w:cs="Times New Roman"/>
          <w:sz w:val="28"/>
          <w:szCs w:val="28"/>
        </w:rPr>
        <w:t>Председатель Счётной палаты Маловишерского муниципального района постоянно принимает участие в заседаниях комиссии по противодействию ко</w:t>
      </w:r>
      <w:r w:rsidRPr="00223585">
        <w:rPr>
          <w:rFonts w:ascii="Times New Roman" w:hAnsi="Times New Roman" w:cs="Times New Roman"/>
          <w:sz w:val="28"/>
          <w:szCs w:val="28"/>
        </w:rPr>
        <w:t>р</w:t>
      </w:r>
      <w:r w:rsidRPr="00223585">
        <w:rPr>
          <w:rFonts w:ascii="Times New Roman" w:hAnsi="Times New Roman" w:cs="Times New Roman"/>
          <w:sz w:val="28"/>
          <w:szCs w:val="28"/>
        </w:rPr>
        <w:t>рупции, в пределах своей компетенции озвучивает информацию согласно плану мероприятий противодействия коррупции.</w:t>
      </w:r>
    </w:p>
    <w:p w:rsidR="00223585" w:rsidRPr="00223585" w:rsidRDefault="00223585" w:rsidP="00223585">
      <w:pPr>
        <w:ind w:firstLine="709"/>
        <w:jc w:val="both"/>
        <w:rPr>
          <w:szCs w:val="28"/>
        </w:rPr>
      </w:pPr>
      <w:r w:rsidRPr="00223585">
        <w:rPr>
          <w:szCs w:val="28"/>
        </w:rPr>
        <w:t>В 2018 году будет  продолжена практика проведения эффективности, н</w:t>
      </w:r>
      <w:r w:rsidRPr="00223585">
        <w:rPr>
          <w:szCs w:val="28"/>
        </w:rPr>
        <w:t>а</w:t>
      </w:r>
      <w:r w:rsidRPr="00223585">
        <w:rPr>
          <w:szCs w:val="28"/>
        </w:rPr>
        <w:t>правленная на определение экономности и результативности использования бюджетных средств.</w:t>
      </w:r>
    </w:p>
    <w:p w:rsidR="00223585" w:rsidRPr="00223585" w:rsidRDefault="00223585" w:rsidP="00223585">
      <w:pPr>
        <w:tabs>
          <w:tab w:val="left" w:pos="709"/>
        </w:tabs>
        <w:ind w:firstLine="709"/>
        <w:jc w:val="both"/>
        <w:rPr>
          <w:szCs w:val="28"/>
        </w:rPr>
      </w:pPr>
      <w:r w:rsidRPr="00223585">
        <w:rPr>
          <w:szCs w:val="28"/>
        </w:rPr>
        <w:t>При планировании деятельности Счётной палаты на следующий пер</w:t>
      </w:r>
      <w:r w:rsidRPr="00223585">
        <w:rPr>
          <w:szCs w:val="28"/>
        </w:rPr>
        <w:t>и</w:t>
      </w:r>
      <w:r w:rsidRPr="00223585">
        <w:rPr>
          <w:szCs w:val="28"/>
        </w:rPr>
        <w:t>од, в целях исключения дублирования функций при осуществлении контрольных мероприятий план работы на 2018 год скоординирован с годовым планом раб</w:t>
      </w:r>
      <w:r w:rsidRPr="00223585">
        <w:rPr>
          <w:szCs w:val="28"/>
        </w:rPr>
        <w:t>о</w:t>
      </w:r>
      <w:r w:rsidRPr="00223585">
        <w:rPr>
          <w:szCs w:val="28"/>
        </w:rPr>
        <w:t>ты комитета финансов Администрации Маловишерского муниципального ра</w:t>
      </w:r>
      <w:r w:rsidRPr="00223585">
        <w:rPr>
          <w:szCs w:val="28"/>
        </w:rPr>
        <w:t>й</w:t>
      </w:r>
      <w:r w:rsidRPr="00223585">
        <w:rPr>
          <w:szCs w:val="28"/>
        </w:rPr>
        <w:t>она.</w:t>
      </w:r>
    </w:p>
    <w:p w:rsidR="00223585" w:rsidRDefault="00223585" w:rsidP="00223585">
      <w:pPr>
        <w:pStyle w:val="af"/>
        <w:spacing w:before="0" w:beforeAutospacing="0" w:after="0" w:afterAutospacing="0"/>
        <w:ind w:firstLine="709"/>
        <w:jc w:val="both"/>
        <w:rPr>
          <w:rFonts w:ascii="Times New Roman" w:hAnsi="Times New Roman"/>
          <w:b/>
          <w:bCs/>
          <w:sz w:val="28"/>
          <w:szCs w:val="28"/>
          <w:lang w:val="ru-RU"/>
        </w:rPr>
      </w:pP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b/>
          <w:bCs/>
          <w:sz w:val="28"/>
          <w:szCs w:val="28"/>
        </w:rPr>
        <w:t>Обеспечение деятельности Счётной палаты</w:t>
      </w:r>
      <w:r w:rsidRPr="00223585">
        <w:rPr>
          <w:rFonts w:ascii="Times New Roman" w:hAnsi="Times New Roman"/>
          <w:sz w:val="28"/>
          <w:szCs w:val="28"/>
        </w:rPr>
        <w:t> </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На протяжении длительного периода времени (практически с момента создания Счетной палаты) штатная численность палаты не менялась и составляет 2 единицы. Однако, в связи с произошедшими в последние годы изменениями в бюджетном законодательстве об административных правонаруш</w:t>
      </w:r>
      <w:r w:rsidRPr="00223585">
        <w:rPr>
          <w:rFonts w:ascii="Times New Roman" w:hAnsi="Times New Roman"/>
          <w:sz w:val="28"/>
          <w:szCs w:val="28"/>
        </w:rPr>
        <w:t>е</w:t>
      </w:r>
      <w:r w:rsidRPr="00223585">
        <w:rPr>
          <w:rFonts w:ascii="Times New Roman" w:hAnsi="Times New Roman"/>
          <w:sz w:val="28"/>
          <w:szCs w:val="28"/>
        </w:rPr>
        <w:t>ниях существенно расширились полномочия контрольно-счетного органа.</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Сотрудники Счётной палаты имеют высшее профессиональное образование и значительный стаж работы. В отчетном периоде сотрудники Счётной палаты повышение квалификации не проходили.</w:t>
      </w:r>
    </w:p>
    <w:p w:rsidR="00223585" w:rsidRPr="00223585" w:rsidRDefault="00223585" w:rsidP="00223585">
      <w:pPr>
        <w:pStyle w:val="af"/>
        <w:spacing w:before="0" w:beforeAutospacing="0" w:after="0" w:afterAutospacing="0"/>
        <w:ind w:firstLine="709"/>
        <w:jc w:val="both"/>
        <w:rPr>
          <w:rFonts w:ascii="Times New Roman" w:hAnsi="Times New Roman"/>
          <w:sz w:val="28"/>
          <w:szCs w:val="28"/>
        </w:rPr>
      </w:pPr>
      <w:r w:rsidRPr="00223585">
        <w:rPr>
          <w:rFonts w:ascii="Times New Roman" w:hAnsi="Times New Roman"/>
          <w:sz w:val="28"/>
          <w:szCs w:val="28"/>
        </w:rPr>
        <w:t>Затраты на содержание Счётной палаты в 2017 году фактически составили   1098,6 тыс. рублей, на 2018 год запланировано- 1012,9 тыс. рублей.</w:t>
      </w:r>
    </w:p>
    <w:p w:rsidR="00223585" w:rsidRDefault="00223585" w:rsidP="00223585">
      <w:pPr>
        <w:ind w:firstLine="709"/>
        <w:jc w:val="both"/>
        <w:rPr>
          <w:rStyle w:val="af3"/>
          <w:szCs w:val="28"/>
        </w:rPr>
      </w:pPr>
    </w:p>
    <w:p w:rsidR="00223585" w:rsidRPr="00223585" w:rsidRDefault="00223585" w:rsidP="00223585">
      <w:pPr>
        <w:ind w:firstLine="709"/>
        <w:jc w:val="both"/>
        <w:rPr>
          <w:rStyle w:val="af3"/>
          <w:szCs w:val="28"/>
        </w:rPr>
      </w:pPr>
      <w:r w:rsidRPr="00223585">
        <w:rPr>
          <w:rStyle w:val="af3"/>
          <w:szCs w:val="28"/>
        </w:rPr>
        <w:t>Информирование о деятельности Счётной палаты</w:t>
      </w:r>
    </w:p>
    <w:p w:rsidR="00223585" w:rsidRPr="00223585" w:rsidRDefault="00223585" w:rsidP="00223585">
      <w:pPr>
        <w:ind w:firstLine="709"/>
        <w:jc w:val="both"/>
        <w:rPr>
          <w:szCs w:val="28"/>
        </w:rPr>
      </w:pPr>
      <w:r w:rsidRPr="00223585">
        <w:rPr>
          <w:szCs w:val="28"/>
        </w:rPr>
        <w:t>В целях обеспечения принципа гласности  и открытости процедур ко</w:t>
      </w:r>
      <w:r w:rsidRPr="00223585">
        <w:rPr>
          <w:szCs w:val="28"/>
        </w:rPr>
        <w:t>н</w:t>
      </w:r>
      <w:r w:rsidRPr="00223585">
        <w:rPr>
          <w:szCs w:val="28"/>
        </w:rPr>
        <w:t>троля работа Счётной палаты освещалась в информационно-коммуникационной сети Интернет на сайте  Администрации Маловишерск</w:t>
      </w:r>
      <w:r w:rsidRPr="00223585">
        <w:rPr>
          <w:szCs w:val="28"/>
        </w:rPr>
        <w:t>о</w:t>
      </w:r>
      <w:r w:rsidRPr="00223585">
        <w:rPr>
          <w:szCs w:val="28"/>
        </w:rPr>
        <w:t>го муниципального района в разделе Счётная палата. Была продолжена раб</w:t>
      </w:r>
      <w:r w:rsidRPr="00223585">
        <w:rPr>
          <w:szCs w:val="28"/>
        </w:rPr>
        <w:t>о</w:t>
      </w:r>
      <w:r w:rsidRPr="00223585">
        <w:rPr>
          <w:szCs w:val="28"/>
        </w:rPr>
        <w:t xml:space="preserve">та по информационному и тематическому наполнению официального сайта. </w:t>
      </w:r>
    </w:p>
    <w:p w:rsidR="00223585" w:rsidRDefault="00223585" w:rsidP="00223585">
      <w:pPr>
        <w:pStyle w:val="af"/>
        <w:spacing w:before="0" w:beforeAutospacing="0" w:after="0" w:afterAutospacing="0"/>
        <w:ind w:firstLine="709"/>
        <w:jc w:val="both"/>
        <w:rPr>
          <w:rFonts w:ascii="Times New Roman" w:hAnsi="Times New Roman"/>
          <w:bCs/>
          <w:sz w:val="28"/>
          <w:szCs w:val="28"/>
          <w:lang w:val="ru-RU"/>
        </w:rPr>
      </w:pPr>
      <w:r w:rsidRPr="00223585">
        <w:rPr>
          <w:rFonts w:ascii="Times New Roman" w:hAnsi="Times New Roman"/>
          <w:sz w:val="28"/>
          <w:szCs w:val="28"/>
        </w:rPr>
        <w:t xml:space="preserve">В 2017 году Счетной палатой Новгородской области был проведен мониторинг  создания и наполнения сайтов контрольно-счётных органов муниципальных образований. По результатам мониторинга итоговая оценка </w:t>
      </w:r>
      <w:r w:rsidRPr="00223585">
        <w:rPr>
          <w:rFonts w:ascii="Times New Roman" w:hAnsi="Times New Roman"/>
          <w:sz w:val="28"/>
          <w:szCs w:val="28"/>
        </w:rPr>
        <w:lastRenderedPageBreak/>
        <w:t>наполняемости сайта</w:t>
      </w:r>
      <w:r w:rsidRPr="00223585">
        <w:rPr>
          <w:rFonts w:ascii="Times New Roman" w:hAnsi="Times New Roman"/>
          <w:bCs/>
          <w:sz w:val="28"/>
          <w:szCs w:val="28"/>
        </w:rPr>
        <w:t xml:space="preserve"> Счётной палаты  Маловишерского района оценена как «достаточная».</w:t>
      </w:r>
    </w:p>
    <w:p w:rsidR="00223585" w:rsidRDefault="00223585" w:rsidP="00223585">
      <w:pPr>
        <w:pStyle w:val="af"/>
        <w:spacing w:before="0" w:beforeAutospacing="0" w:after="0" w:afterAutospacing="0"/>
        <w:ind w:firstLine="709"/>
        <w:jc w:val="both"/>
        <w:rPr>
          <w:rFonts w:ascii="Times New Roman" w:hAnsi="Times New Roman"/>
          <w:bCs/>
          <w:sz w:val="28"/>
          <w:szCs w:val="28"/>
          <w:lang w:val="ru-RU"/>
        </w:rPr>
      </w:pPr>
    </w:p>
    <w:p w:rsidR="00223585" w:rsidRPr="00223585" w:rsidRDefault="00223585" w:rsidP="00223585">
      <w:pPr>
        <w:pStyle w:val="af"/>
        <w:spacing w:before="0" w:beforeAutospacing="0" w:after="0" w:afterAutospacing="0"/>
        <w:ind w:firstLine="709"/>
        <w:jc w:val="center"/>
        <w:rPr>
          <w:rFonts w:ascii="Times New Roman" w:hAnsi="Times New Roman"/>
          <w:bCs/>
          <w:sz w:val="28"/>
          <w:szCs w:val="28"/>
          <w:lang w:val="ru-RU"/>
        </w:rPr>
      </w:pPr>
      <w:r>
        <w:rPr>
          <w:rFonts w:ascii="Times New Roman" w:hAnsi="Times New Roman"/>
          <w:bCs/>
          <w:sz w:val="28"/>
          <w:szCs w:val="28"/>
          <w:lang w:val="ru-RU"/>
        </w:rPr>
        <w:t>____________________________________</w:t>
      </w:r>
    </w:p>
    <w:p w:rsidR="00916FA4" w:rsidRDefault="00916FA4" w:rsidP="00916FA4">
      <w:pPr>
        <w:jc w:val="right"/>
      </w:pPr>
    </w:p>
    <w:p w:rsidR="004B2C48" w:rsidRDefault="004B2C48" w:rsidP="00916FA4">
      <w:pPr>
        <w:jc w:val="right"/>
      </w:pPr>
    </w:p>
    <w:p w:rsidR="004B2C48" w:rsidRDefault="004B2C48" w:rsidP="00916FA4">
      <w:pPr>
        <w:jc w:val="right"/>
        <w:sectPr w:rsidR="004B2C48" w:rsidSect="00916FA4">
          <w:pgSz w:w="11907" w:h="16840" w:code="9"/>
          <w:pgMar w:top="567" w:right="567" w:bottom="851" w:left="1701" w:header="567" w:footer="567" w:gutter="0"/>
          <w:pgNumType w:start="1"/>
          <w:cols w:space="708"/>
          <w:titlePg/>
          <w:docGrid w:linePitch="381"/>
        </w:sectPr>
      </w:pPr>
    </w:p>
    <w:tbl>
      <w:tblPr>
        <w:tblW w:w="0" w:type="auto"/>
        <w:jc w:val="right"/>
        <w:tblInd w:w="5210" w:type="dxa"/>
        <w:tblLook w:val="04A0"/>
      </w:tblPr>
      <w:tblGrid>
        <w:gridCol w:w="4644"/>
      </w:tblGrid>
      <w:tr w:rsidR="004A0C85" w:rsidRPr="00CC006B" w:rsidTr="003A2320">
        <w:trPr>
          <w:jc w:val="right"/>
        </w:trPr>
        <w:tc>
          <w:tcPr>
            <w:tcW w:w="4644" w:type="dxa"/>
          </w:tcPr>
          <w:p w:rsidR="004A0C85" w:rsidRPr="00916FA4" w:rsidRDefault="004A0C85" w:rsidP="003A2320">
            <w:pPr>
              <w:spacing w:line="280" w:lineRule="exact"/>
              <w:jc w:val="center"/>
              <w:rPr>
                <w:szCs w:val="28"/>
              </w:rPr>
            </w:pPr>
            <w:r>
              <w:rPr>
                <w:szCs w:val="28"/>
              </w:rPr>
              <w:lastRenderedPageBreak/>
              <w:t>Приложение</w:t>
            </w:r>
          </w:p>
        </w:tc>
      </w:tr>
      <w:tr w:rsidR="004A0C85" w:rsidRPr="00CC006B" w:rsidTr="003A2320">
        <w:trPr>
          <w:jc w:val="right"/>
        </w:trPr>
        <w:tc>
          <w:tcPr>
            <w:tcW w:w="4644" w:type="dxa"/>
          </w:tcPr>
          <w:p w:rsidR="004A0C85" w:rsidRPr="00916FA4" w:rsidRDefault="004A0C85" w:rsidP="004A0C85">
            <w:pPr>
              <w:pStyle w:val="af"/>
              <w:spacing w:before="0" w:beforeAutospacing="0" w:after="0" w:afterAutospacing="0" w:line="240" w:lineRule="exact"/>
              <w:jc w:val="both"/>
              <w:rPr>
                <w:szCs w:val="28"/>
              </w:rPr>
            </w:pPr>
            <w:r w:rsidRPr="004A0C85">
              <w:rPr>
                <w:rFonts w:ascii="Times New Roman" w:hAnsi="Times New Roman"/>
                <w:szCs w:val="28"/>
              </w:rPr>
              <w:t xml:space="preserve"> к </w:t>
            </w:r>
            <w:r w:rsidRPr="004A0C85">
              <w:rPr>
                <w:rFonts w:ascii="Times New Roman" w:hAnsi="Times New Roman"/>
                <w:bCs/>
                <w:sz w:val="28"/>
                <w:szCs w:val="28"/>
              </w:rPr>
              <w:t>Ежегодн</w:t>
            </w:r>
            <w:r w:rsidRPr="004A0C85">
              <w:rPr>
                <w:rFonts w:ascii="Times New Roman" w:hAnsi="Times New Roman"/>
                <w:bCs/>
                <w:sz w:val="28"/>
                <w:szCs w:val="28"/>
                <w:lang w:val="ru-RU"/>
              </w:rPr>
              <w:t>ому</w:t>
            </w:r>
            <w:r w:rsidRPr="004A0C85">
              <w:rPr>
                <w:rFonts w:ascii="Times New Roman" w:hAnsi="Times New Roman"/>
                <w:bCs/>
                <w:sz w:val="28"/>
                <w:szCs w:val="28"/>
              </w:rPr>
              <w:t xml:space="preserve"> отчет</w:t>
            </w:r>
            <w:r w:rsidRPr="004A0C85">
              <w:rPr>
                <w:rFonts w:ascii="Times New Roman" w:hAnsi="Times New Roman"/>
                <w:bCs/>
                <w:sz w:val="28"/>
                <w:szCs w:val="28"/>
                <w:lang w:val="ru-RU"/>
              </w:rPr>
              <w:t>у</w:t>
            </w:r>
            <w:r w:rsidRPr="004A0C85">
              <w:rPr>
                <w:rFonts w:ascii="Times New Roman" w:hAnsi="Times New Roman"/>
                <w:bCs/>
                <w:sz w:val="28"/>
                <w:szCs w:val="28"/>
              </w:rPr>
              <w:t xml:space="preserve"> о деятельности</w:t>
            </w:r>
            <w:r>
              <w:rPr>
                <w:rFonts w:ascii="Times New Roman" w:hAnsi="Times New Roman"/>
                <w:bCs/>
                <w:sz w:val="28"/>
                <w:szCs w:val="28"/>
                <w:lang w:val="ru-RU"/>
              </w:rPr>
              <w:t xml:space="preserve"> </w:t>
            </w:r>
            <w:r w:rsidRPr="004A0C85">
              <w:rPr>
                <w:rFonts w:ascii="Times New Roman" w:hAnsi="Times New Roman"/>
                <w:bCs/>
                <w:sz w:val="28"/>
                <w:szCs w:val="28"/>
              </w:rPr>
              <w:t>Счётной палаты Маловишерского муниципального района,</w:t>
            </w:r>
            <w:r>
              <w:rPr>
                <w:rFonts w:ascii="Times New Roman" w:hAnsi="Times New Roman"/>
                <w:bCs/>
                <w:sz w:val="28"/>
                <w:szCs w:val="28"/>
                <w:lang w:val="ru-RU"/>
              </w:rPr>
              <w:t xml:space="preserve"> </w:t>
            </w:r>
            <w:r w:rsidRPr="004A0C85">
              <w:rPr>
                <w:rFonts w:ascii="Times New Roman" w:hAnsi="Times New Roman"/>
                <w:bCs/>
                <w:sz w:val="28"/>
                <w:szCs w:val="28"/>
              </w:rPr>
              <w:t>результатах проведенных контрольных и экспертно- аналитических м</w:t>
            </w:r>
            <w:r w:rsidRPr="004A0C85">
              <w:rPr>
                <w:rFonts w:ascii="Times New Roman" w:hAnsi="Times New Roman"/>
                <w:bCs/>
                <w:sz w:val="28"/>
                <w:szCs w:val="28"/>
              </w:rPr>
              <w:t>е</w:t>
            </w:r>
            <w:r w:rsidRPr="004A0C85">
              <w:rPr>
                <w:rFonts w:ascii="Times New Roman" w:hAnsi="Times New Roman"/>
                <w:bCs/>
                <w:sz w:val="28"/>
                <w:szCs w:val="28"/>
              </w:rPr>
              <w:t>роприятий в 2017 году</w:t>
            </w:r>
          </w:p>
        </w:tc>
      </w:tr>
    </w:tbl>
    <w:p w:rsidR="004B2C48" w:rsidRDefault="004B2C48" w:rsidP="004B2C48">
      <w:pPr>
        <w:jc w:val="right"/>
        <w:rPr>
          <w:sz w:val="20"/>
          <w:szCs w:val="20"/>
        </w:rPr>
      </w:pPr>
    </w:p>
    <w:p w:rsidR="004A0C85" w:rsidRDefault="004A0C85" w:rsidP="004B2C48">
      <w:pPr>
        <w:jc w:val="center"/>
        <w:rPr>
          <w:rFonts w:eastAsia="Calibri"/>
          <w:b/>
          <w:szCs w:val="28"/>
          <w:lang w:eastAsia="en-US"/>
        </w:rPr>
      </w:pPr>
    </w:p>
    <w:p w:rsidR="004B2C48" w:rsidRPr="00DE526C" w:rsidRDefault="004B2C48" w:rsidP="004B2C48">
      <w:pPr>
        <w:jc w:val="center"/>
        <w:rPr>
          <w:b/>
          <w:sz w:val="20"/>
          <w:szCs w:val="20"/>
        </w:rPr>
      </w:pPr>
      <w:r w:rsidRPr="00DE526C">
        <w:rPr>
          <w:rFonts w:eastAsia="Calibri"/>
          <w:b/>
          <w:szCs w:val="28"/>
          <w:lang w:eastAsia="en-US"/>
        </w:rPr>
        <w:t>Информация о выявленных  нарушениях в  201</w:t>
      </w:r>
      <w:r>
        <w:rPr>
          <w:rFonts w:eastAsia="Calibri"/>
          <w:b/>
          <w:szCs w:val="28"/>
          <w:lang w:eastAsia="en-US"/>
        </w:rPr>
        <w:t>7</w:t>
      </w:r>
      <w:r w:rsidRPr="00DE526C">
        <w:rPr>
          <w:rFonts w:eastAsia="Calibri"/>
          <w:b/>
          <w:szCs w:val="28"/>
          <w:lang w:eastAsia="en-US"/>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136"/>
        <w:gridCol w:w="2410"/>
      </w:tblGrid>
      <w:tr w:rsidR="004B2C48" w:rsidTr="004A0C85">
        <w:tc>
          <w:tcPr>
            <w:tcW w:w="5211" w:type="dxa"/>
            <w:vMerge w:val="restart"/>
          </w:tcPr>
          <w:p w:rsidR="004B2C48" w:rsidRPr="005F6944" w:rsidRDefault="004B2C48" w:rsidP="004A0C85">
            <w:pPr>
              <w:tabs>
                <w:tab w:val="left" w:pos="709"/>
              </w:tabs>
              <w:ind w:right="-144"/>
              <w:jc w:val="center"/>
              <w:rPr>
                <w:szCs w:val="28"/>
              </w:rPr>
            </w:pPr>
            <w:r w:rsidRPr="005F6944">
              <w:rPr>
                <w:b/>
                <w:bCs/>
              </w:rPr>
              <w:t>Наименование мероприятия</w:t>
            </w:r>
          </w:p>
        </w:tc>
        <w:tc>
          <w:tcPr>
            <w:tcW w:w="4546" w:type="dxa"/>
            <w:gridSpan w:val="2"/>
          </w:tcPr>
          <w:p w:rsidR="004A0C85" w:rsidRDefault="004B2C48" w:rsidP="004A0C85">
            <w:pPr>
              <w:tabs>
                <w:tab w:val="left" w:pos="709"/>
              </w:tabs>
              <w:ind w:right="-144"/>
              <w:jc w:val="center"/>
              <w:rPr>
                <w:b/>
                <w:bCs/>
              </w:rPr>
            </w:pPr>
            <w:r w:rsidRPr="005F6944">
              <w:rPr>
                <w:b/>
                <w:bCs/>
              </w:rPr>
              <w:t xml:space="preserve">Сведения </w:t>
            </w:r>
          </w:p>
          <w:p w:rsidR="004B2C48" w:rsidRPr="005F6944" w:rsidRDefault="004B2C48" w:rsidP="004A0C85">
            <w:pPr>
              <w:tabs>
                <w:tab w:val="left" w:pos="709"/>
              </w:tabs>
              <w:ind w:right="-144"/>
              <w:jc w:val="center"/>
              <w:rPr>
                <w:szCs w:val="28"/>
              </w:rPr>
            </w:pPr>
            <w:r w:rsidRPr="005F6944">
              <w:rPr>
                <w:b/>
                <w:bCs/>
              </w:rPr>
              <w:t>о выявленных наруш</w:t>
            </w:r>
            <w:r w:rsidRPr="005F6944">
              <w:rPr>
                <w:b/>
                <w:bCs/>
              </w:rPr>
              <w:t>е</w:t>
            </w:r>
            <w:r w:rsidRPr="005F6944">
              <w:rPr>
                <w:b/>
                <w:bCs/>
              </w:rPr>
              <w:t>ниях</w:t>
            </w:r>
          </w:p>
        </w:tc>
      </w:tr>
      <w:tr w:rsidR="004B2C48" w:rsidTr="004A0C85">
        <w:tc>
          <w:tcPr>
            <w:tcW w:w="5211" w:type="dxa"/>
            <w:vMerge/>
          </w:tcPr>
          <w:p w:rsidR="004B2C48" w:rsidRPr="005F6944" w:rsidRDefault="004B2C48" w:rsidP="003A2320">
            <w:pPr>
              <w:tabs>
                <w:tab w:val="left" w:pos="709"/>
              </w:tabs>
              <w:ind w:right="-144"/>
              <w:jc w:val="both"/>
              <w:rPr>
                <w:szCs w:val="28"/>
              </w:rPr>
            </w:pPr>
          </w:p>
        </w:tc>
        <w:tc>
          <w:tcPr>
            <w:tcW w:w="2136" w:type="dxa"/>
          </w:tcPr>
          <w:p w:rsidR="004B2C48" w:rsidRPr="005F6944" w:rsidRDefault="004B2C48" w:rsidP="003A2320">
            <w:pPr>
              <w:tabs>
                <w:tab w:val="left" w:pos="-108"/>
              </w:tabs>
              <w:ind w:left="-108" w:right="-144"/>
              <w:jc w:val="center"/>
              <w:rPr>
                <w:szCs w:val="28"/>
              </w:rPr>
            </w:pPr>
            <w:r w:rsidRPr="005F6944">
              <w:rPr>
                <w:b/>
                <w:bCs/>
              </w:rPr>
              <w:t>нарушения с к</w:t>
            </w:r>
            <w:r w:rsidRPr="005F6944">
              <w:rPr>
                <w:b/>
                <w:bCs/>
              </w:rPr>
              <w:t>о</w:t>
            </w:r>
            <w:r w:rsidRPr="005F6944">
              <w:rPr>
                <w:b/>
                <w:bCs/>
              </w:rPr>
              <w:t>личественным показателем, ед</w:t>
            </w:r>
          </w:p>
        </w:tc>
        <w:tc>
          <w:tcPr>
            <w:tcW w:w="2410" w:type="dxa"/>
          </w:tcPr>
          <w:p w:rsidR="004B2C48" w:rsidRPr="005F6944" w:rsidRDefault="004B2C48" w:rsidP="003A2320">
            <w:pPr>
              <w:tabs>
                <w:tab w:val="left" w:pos="709"/>
              </w:tabs>
              <w:ind w:left="-108" w:right="-108"/>
              <w:jc w:val="center"/>
              <w:rPr>
                <w:szCs w:val="28"/>
              </w:rPr>
            </w:pPr>
            <w:r w:rsidRPr="005F6944">
              <w:rPr>
                <w:b/>
                <w:bCs/>
              </w:rPr>
              <w:t>нарушения с к</w:t>
            </w:r>
            <w:r w:rsidRPr="005F6944">
              <w:rPr>
                <w:b/>
                <w:bCs/>
              </w:rPr>
              <w:t>о</w:t>
            </w:r>
            <w:r w:rsidRPr="005F6944">
              <w:rPr>
                <w:b/>
                <w:bCs/>
              </w:rPr>
              <w:t>личественным и стоимостным п</w:t>
            </w:r>
            <w:r w:rsidRPr="005F6944">
              <w:rPr>
                <w:b/>
                <w:bCs/>
              </w:rPr>
              <w:t>о</w:t>
            </w:r>
            <w:r w:rsidRPr="005F6944">
              <w:rPr>
                <w:b/>
                <w:bCs/>
              </w:rPr>
              <w:t>казателями, ед./тыс. рублей</w:t>
            </w:r>
          </w:p>
        </w:tc>
      </w:tr>
    </w:tbl>
    <w:p w:rsidR="004A0C85" w:rsidRPr="004A0C85" w:rsidRDefault="004A0C85">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136"/>
        <w:gridCol w:w="2410"/>
      </w:tblGrid>
      <w:tr w:rsidR="004A0C85" w:rsidRPr="004A0C85" w:rsidTr="004A0C85">
        <w:trPr>
          <w:tblHeader/>
        </w:trPr>
        <w:tc>
          <w:tcPr>
            <w:tcW w:w="5211" w:type="dxa"/>
          </w:tcPr>
          <w:p w:rsidR="004A0C85" w:rsidRPr="004A0C85" w:rsidRDefault="004A0C85" w:rsidP="003A2320">
            <w:pPr>
              <w:tabs>
                <w:tab w:val="left" w:pos="709"/>
              </w:tabs>
              <w:ind w:right="-144"/>
              <w:jc w:val="center"/>
              <w:rPr>
                <w:b/>
                <w:bCs/>
                <w:iCs/>
              </w:rPr>
            </w:pPr>
            <w:r w:rsidRPr="004A0C85">
              <w:rPr>
                <w:b/>
                <w:bCs/>
                <w:iCs/>
              </w:rPr>
              <w:t>1</w:t>
            </w:r>
          </w:p>
        </w:tc>
        <w:tc>
          <w:tcPr>
            <w:tcW w:w="2136" w:type="dxa"/>
          </w:tcPr>
          <w:p w:rsidR="004A0C85" w:rsidRPr="004A0C85" w:rsidRDefault="004A0C85" w:rsidP="003A2320">
            <w:pPr>
              <w:tabs>
                <w:tab w:val="left" w:pos="709"/>
              </w:tabs>
              <w:ind w:right="-144"/>
              <w:jc w:val="center"/>
              <w:rPr>
                <w:b/>
                <w:bCs/>
                <w:iCs/>
              </w:rPr>
            </w:pPr>
            <w:r w:rsidRPr="004A0C85">
              <w:rPr>
                <w:b/>
                <w:bCs/>
                <w:iCs/>
              </w:rPr>
              <w:t>2</w:t>
            </w:r>
          </w:p>
        </w:tc>
        <w:tc>
          <w:tcPr>
            <w:tcW w:w="2410" w:type="dxa"/>
          </w:tcPr>
          <w:p w:rsidR="004A0C85" w:rsidRPr="004A0C85" w:rsidRDefault="004A0C85" w:rsidP="003A2320">
            <w:pPr>
              <w:tabs>
                <w:tab w:val="left" w:pos="709"/>
              </w:tabs>
              <w:ind w:right="-144"/>
              <w:jc w:val="center"/>
              <w:rPr>
                <w:b/>
                <w:bCs/>
                <w:iCs/>
              </w:rPr>
            </w:pPr>
            <w:r w:rsidRPr="004A0C85">
              <w:rPr>
                <w:b/>
                <w:bCs/>
                <w:iCs/>
              </w:rPr>
              <w:t>3</w:t>
            </w:r>
          </w:p>
        </w:tc>
      </w:tr>
      <w:tr w:rsidR="004B2C48" w:rsidTr="004A0C85">
        <w:tc>
          <w:tcPr>
            <w:tcW w:w="9757" w:type="dxa"/>
            <w:gridSpan w:val="3"/>
          </w:tcPr>
          <w:p w:rsidR="004B2C48" w:rsidRPr="005F6944" w:rsidRDefault="004B2C48" w:rsidP="003A2320">
            <w:pPr>
              <w:tabs>
                <w:tab w:val="left" w:pos="709"/>
              </w:tabs>
              <w:ind w:right="-144"/>
              <w:jc w:val="center"/>
              <w:rPr>
                <w:szCs w:val="28"/>
              </w:rPr>
            </w:pPr>
            <w:r w:rsidRPr="005F6944">
              <w:rPr>
                <w:b/>
                <w:bCs/>
                <w:i/>
                <w:iCs/>
              </w:rPr>
              <w:t>по  Классификатору нарушений</w:t>
            </w:r>
          </w:p>
        </w:tc>
      </w:tr>
      <w:tr w:rsidR="004B2C48" w:rsidTr="004A0C85">
        <w:tc>
          <w:tcPr>
            <w:tcW w:w="5211" w:type="dxa"/>
            <w:vAlign w:val="center"/>
          </w:tcPr>
          <w:p w:rsidR="004B2C48" w:rsidRPr="001D3C44" w:rsidRDefault="004B2C48" w:rsidP="003A2320">
            <w:pPr>
              <w:spacing w:before="100" w:beforeAutospacing="1" w:after="100" w:afterAutospacing="1"/>
            </w:pPr>
            <w:r>
              <w:t>А</w:t>
            </w:r>
            <w:r w:rsidRPr="007273E8">
              <w:t>нализ  и оценк</w:t>
            </w:r>
            <w:r>
              <w:t>а</w:t>
            </w:r>
            <w:r w:rsidRPr="007273E8">
              <w:t xml:space="preserve"> законности, </w:t>
            </w:r>
            <w:r>
              <w:t>ц</w:t>
            </w:r>
            <w:r w:rsidRPr="007273E8">
              <w:t>елесоо</w:t>
            </w:r>
            <w:r w:rsidRPr="007273E8">
              <w:t>б</w:t>
            </w:r>
            <w:r w:rsidRPr="007273E8">
              <w:t>разности, обоснованности, своевреме</w:t>
            </w:r>
            <w:r w:rsidRPr="007273E8">
              <w:t>н</w:t>
            </w:r>
            <w:r w:rsidRPr="007273E8">
              <w:t>ности, эффективности и результативн</w:t>
            </w:r>
            <w:r w:rsidRPr="007273E8">
              <w:t>о</w:t>
            </w:r>
            <w:r w:rsidRPr="007273E8">
              <w:t>сти расходов на закупки товаров, работ и услуг для муници</w:t>
            </w:r>
            <w:r>
              <w:t>пальных нужд в В</w:t>
            </w:r>
            <w:r>
              <w:t>е</w:t>
            </w:r>
            <w:r>
              <w:t>ребьи</w:t>
            </w:r>
            <w:r>
              <w:t>н</w:t>
            </w:r>
            <w:r>
              <w:t>ском сельском поселении</w:t>
            </w:r>
            <w:r w:rsidRPr="007273E8">
              <w:t xml:space="preserve"> </w:t>
            </w:r>
          </w:p>
        </w:tc>
        <w:tc>
          <w:tcPr>
            <w:tcW w:w="2136" w:type="dxa"/>
          </w:tcPr>
          <w:p w:rsidR="004B2C48" w:rsidRPr="001D3C44" w:rsidRDefault="004B2C48" w:rsidP="003A2320">
            <w:pPr>
              <w:tabs>
                <w:tab w:val="left" w:pos="709"/>
              </w:tabs>
              <w:ind w:right="-144"/>
              <w:jc w:val="center"/>
            </w:pPr>
            <w:r>
              <w:t>6</w:t>
            </w:r>
          </w:p>
        </w:tc>
        <w:tc>
          <w:tcPr>
            <w:tcW w:w="2410" w:type="dxa"/>
          </w:tcPr>
          <w:p w:rsidR="004B2C48" w:rsidRPr="001D3C44" w:rsidRDefault="004B2C48" w:rsidP="003A2320">
            <w:pPr>
              <w:tabs>
                <w:tab w:val="left" w:pos="709"/>
              </w:tabs>
              <w:ind w:right="-144"/>
              <w:jc w:val="center"/>
            </w:pPr>
            <w:r>
              <w:t>288,1</w:t>
            </w:r>
          </w:p>
        </w:tc>
      </w:tr>
      <w:tr w:rsidR="004B2C48" w:rsidTr="004A0C85">
        <w:tc>
          <w:tcPr>
            <w:tcW w:w="5211" w:type="dxa"/>
          </w:tcPr>
          <w:p w:rsidR="004B2C48" w:rsidRPr="001D3C44" w:rsidRDefault="004B2C48" w:rsidP="003A2320">
            <w:pPr>
              <w:tabs>
                <w:tab w:val="left" w:pos="709"/>
              </w:tabs>
              <w:ind w:right="-144"/>
              <w:jc w:val="both"/>
            </w:pPr>
            <w:r>
              <w:t>Э</w:t>
            </w:r>
            <w:r w:rsidRPr="007273E8">
              <w:t>ффективност</w:t>
            </w:r>
            <w:r>
              <w:t>ь</w:t>
            </w:r>
            <w:r w:rsidRPr="007273E8">
              <w:t xml:space="preserve"> расходования </w:t>
            </w:r>
            <w:r>
              <w:t>м</w:t>
            </w:r>
            <w:r w:rsidRPr="007273E8">
              <w:t>униц</w:t>
            </w:r>
            <w:r w:rsidRPr="007273E8">
              <w:t>и</w:t>
            </w:r>
            <w:r w:rsidRPr="007273E8">
              <w:t>пальными учреждениями бюджетных средств на оплату жилищно-коммунальных услуг, а также на мер</w:t>
            </w:r>
            <w:r w:rsidRPr="007273E8">
              <w:t>о</w:t>
            </w:r>
            <w:r w:rsidRPr="007273E8">
              <w:t>приятия в области энергосбережения и энергетической эффективности</w:t>
            </w:r>
            <w:r>
              <w:t xml:space="preserve"> (</w:t>
            </w:r>
            <w:r w:rsidRPr="007273E8">
              <w:t>МАУ ДЮСШ «АРЕНА МВ»)</w:t>
            </w:r>
          </w:p>
        </w:tc>
        <w:tc>
          <w:tcPr>
            <w:tcW w:w="2136" w:type="dxa"/>
          </w:tcPr>
          <w:p w:rsidR="004B2C48" w:rsidRPr="001D3C44" w:rsidRDefault="004B2C48" w:rsidP="003A2320">
            <w:pPr>
              <w:tabs>
                <w:tab w:val="left" w:pos="709"/>
              </w:tabs>
              <w:ind w:right="-144"/>
              <w:jc w:val="center"/>
            </w:pPr>
            <w:r>
              <w:t>3</w:t>
            </w:r>
          </w:p>
        </w:tc>
        <w:tc>
          <w:tcPr>
            <w:tcW w:w="2410" w:type="dxa"/>
          </w:tcPr>
          <w:p w:rsidR="004B2C48" w:rsidRPr="001D3C44" w:rsidRDefault="004B2C48" w:rsidP="003A2320">
            <w:pPr>
              <w:tabs>
                <w:tab w:val="left" w:pos="709"/>
              </w:tabs>
              <w:ind w:right="-144"/>
              <w:jc w:val="center"/>
            </w:pPr>
            <w:r>
              <w:t>5031,6</w:t>
            </w:r>
          </w:p>
        </w:tc>
      </w:tr>
      <w:tr w:rsidR="004B2C48" w:rsidTr="004A0C85">
        <w:tc>
          <w:tcPr>
            <w:tcW w:w="5211" w:type="dxa"/>
          </w:tcPr>
          <w:p w:rsidR="004B2C48" w:rsidRPr="001D3C44" w:rsidRDefault="004B2C48" w:rsidP="003A2320">
            <w:pPr>
              <w:tabs>
                <w:tab w:val="left" w:pos="709"/>
              </w:tabs>
              <w:ind w:right="-144"/>
            </w:pPr>
            <w:r w:rsidRPr="007273E8">
              <w:t>полнота и достоверность сведений о н</w:t>
            </w:r>
            <w:r w:rsidRPr="007273E8">
              <w:t>е</w:t>
            </w:r>
            <w:r w:rsidRPr="007273E8">
              <w:t>движимом имуществе в целях исчисления имущественных налогов и достоверности прогнозирования доходной части конс</w:t>
            </w:r>
            <w:r w:rsidRPr="007273E8">
              <w:t>о</w:t>
            </w:r>
            <w:r w:rsidRPr="007273E8">
              <w:t>лидированного бюджета ра</w:t>
            </w:r>
            <w:r w:rsidRPr="007273E8">
              <w:t>й</w:t>
            </w:r>
            <w:r w:rsidRPr="007273E8">
              <w:t>она</w:t>
            </w:r>
          </w:p>
        </w:tc>
        <w:tc>
          <w:tcPr>
            <w:tcW w:w="2136" w:type="dxa"/>
          </w:tcPr>
          <w:p w:rsidR="004B2C48" w:rsidRPr="001D3C44" w:rsidRDefault="004B2C48" w:rsidP="003A2320">
            <w:pPr>
              <w:tabs>
                <w:tab w:val="left" w:pos="709"/>
              </w:tabs>
              <w:ind w:right="-144"/>
              <w:jc w:val="center"/>
            </w:pPr>
            <w:r>
              <w:t>-</w:t>
            </w:r>
          </w:p>
        </w:tc>
        <w:tc>
          <w:tcPr>
            <w:tcW w:w="2410" w:type="dxa"/>
          </w:tcPr>
          <w:p w:rsidR="004B2C48" w:rsidRPr="001D3C44" w:rsidRDefault="004B2C48" w:rsidP="003A2320">
            <w:pPr>
              <w:tabs>
                <w:tab w:val="left" w:pos="709"/>
              </w:tabs>
              <w:ind w:right="-144"/>
              <w:jc w:val="center"/>
            </w:pPr>
            <w:r>
              <w:t>-</w:t>
            </w:r>
          </w:p>
        </w:tc>
      </w:tr>
      <w:tr w:rsidR="004B2C48" w:rsidTr="004A0C85">
        <w:tc>
          <w:tcPr>
            <w:tcW w:w="5211" w:type="dxa"/>
          </w:tcPr>
          <w:p w:rsidR="004B2C48" w:rsidRPr="001D3C44" w:rsidRDefault="004B2C48" w:rsidP="003A2320">
            <w:pPr>
              <w:tabs>
                <w:tab w:val="left" w:pos="709"/>
              </w:tabs>
              <w:ind w:right="-144"/>
              <w:jc w:val="both"/>
            </w:pPr>
            <w:r w:rsidRPr="007273E8">
              <w:t>мониторинг состояния бухгалтерского учета</w:t>
            </w:r>
            <w:r>
              <w:t xml:space="preserve"> в </w:t>
            </w:r>
            <w:r w:rsidRPr="007273E8">
              <w:t>муниципально</w:t>
            </w:r>
            <w:r>
              <w:t>м</w:t>
            </w:r>
            <w:r w:rsidRPr="007273E8">
              <w:t xml:space="preserve"> бюджетно</w:t>
            </w:r>
            <w:r>
              <w:t>м</w:t>
            </w:r>
            <w:r w:rsidRPr="007273E8">
              <w:t xml:space="preserve"> учр</w:t>
            </w:r>
            <w:r w:rsidRPr="007273E8">
              <w:t>е</w:t>
            </w:r>
            <w:r w:rsidRPr="007273E8">
              <w:t>ждени</w:t>
            </w:r>
            <w:r>
              <w:t>и</w:t>
            </w:r>
            <w:r w:rsidRPr="007273E8">
              <w:t xml:space="preserve"> культуры «Межпоселенческий методический центр народного творчества и культурно-досуговой деятельности М</w:t>
            </w:r>
            <w:r w:rsidRPr="007273E8">
              <w:t>а</w:t>
            </w:r>
            <w:r w:rsidRPr="007273E8">
              <w:t>лов</w:t>
            </w:r>
            <w:r w:rsidRPr="007273E8">
              <w:t>и</w:t>
            </w:r>
            <w:r w:rsidRPr="007273E8">
              <w:t xml:space="preserve">шерского муниципального района» </w:t>
            </w:r>
          </w:p>
        </w:tc>
        <w:tc>
          <w:tcPr>
            <w:tcW w:w="2136" w:type="dxa"/>
          </w:tcPr>
          <w:p w:rsidR="004B2C48" w:rsidRPr="001D3C44" w:rsidRDefault="004B2C48" w:rsidP="003A2320">
            <w:pPr>
              <w:tabs>
                <w:tab w:val="left" w:pos="709"/>
              </w:tabs>
              <w:ind w:right="-144"/>
              <w:jc w:val="center"/>
            </w:pPr>
            <w:r>
              <w:t>1</w:t>
            </w:r>
          </w:p>
        </w:tc>
        <w:tc>
          <w:tcPr>
            <w:tcW w:w="2410" w:type="dxa"/>
          </w:tcPr>
          <w:p w:rsidR="004B2C48" w:rsidRPr="001D3C44" w:rsidRDefault="004B2C48" w:rsidP="003A2320">
            <w:pPr>
              <w:tabs>
                <w:tab w:val="left" w:pos="709"/>
              </w:tabs>
              <w:ind w:right="-144"/>
              <w:jc w:val="center"/>
            </w:pPr>
            <w:r>
              <w:t>3681,0</w:t>
            </w:r>
          </w:p>
        </w:tc>
      </w:tr>
      <w:tr w:rsidR="004B2C48" w:rsidTr="004A0C85">
        <w:tc>
          <w:tcPr>
            <w:tcW w:w="5211" w:type="dxa"/>
            <w:vAlign w:val="center"/>
          </w:tcPr>
          <w:p w:rsidR="004B2C48" w:rsidRPr="00BB5E1C" w:rsidRDefault="004B2C48" w:rsidP="003A2320">
            <w:pPr>
              <w:spacing w:before="100" w:beforeAutospacing="1" w:after="100" w:afterAutospacing="1"/>
            </w:pPr>
            <w:r w:rsidRPr="00BB5E1C">
              <w:t>Итого</w:t>
            </w:r>
          </w:p>
        </w:tc>
        <w:tc>
          <w:tcPr>
            <w:tcW w:w="2136" w:type="dxa"/>
            <w:vAlign w:val="center"/>
          </w:tcPr>
          <w:p w:rsidR="004B2C48" w:rsidRPr="00BB5E1C" w:rsidRDefault="004B2C48" w:rsidP="003A2320">
            <w:pPr>
              <w:spacing w:before="100" w:beforeAutospacing="1" w:after="100" w:afterAutospacing="1"/>
              <w:jc w:val="center"/>
            </w:pPr>
            <w:r>
              <w:t>10</w:t>
            </w:r>
          </w:p>
        </w:tc>
        <w:tc>
          <w:tcPr>
            <w:tcW w:w="2410" w:type="dxa"/>
            <w:vAlign w:val="center"/>
          </w:tcPr>
          <w:p w:rsidR="004B2C48" w:rsidRPr="00BB5E1C" w:rsidRDefault="004B2C48" w:rsidP="003A2320">
            <w:pPr>
              <w:spacing w:before="100" w:beforeAutospacing="1" w:after="100" w:afterAutospacing="1"/>
              <w:jc w:val="center"/>
            </w:pPr>
            <w:r>
              <w:t>9000,7</w:t>
            </w:r>
          </w:p>
        </w:tc>
      </w:tr>
      <w:tr w:rsidR="004B2C48" w:rsidTr="004A0C85">
        <w:tc>
          <w:tcPr>
            <w:tcW w:w="9757" w:type="dxa"/>
            <w:gridSpan w:val="3"/>
            <w:vAlign w:val="center"/>
          </w:tcPr>
          <w:p w:rsidR="004B2C48" w:rsidRPr="001D3C44" w:rsidRDefault="004B2C48" w:rsidP="003A2320">
            <w:pPr>
              <w:tabs>
                <w:tab w:val="left" w:pos="709"/>
              </w:tabs>
              <w:ind w:right="-144"/>
              <w:jc w:val="center"/>
            </w:pPr>
            <w:r w:rsidRPr="005F6944">
              <w:rPr>
                <w:b/>
                <w:bCs/>
                <w:i/>
                <w:iCs/>
              </w:rPr>
              <w:t>Неэффективные расходы</w:t>
            </w:r>
          </w:p>
        </w:tc>
      </w:tr>
      <w:tr w:rsidR="004B2C48" w:rsidTr="004A0C85">
        <w:tc>
          <w:tcPr>
            <w:tcW w:w="5211" w:type="dxa"/>
            <w:vAlign w:val="center"/>
          </w:tcPr>
          <w:p w:rsidR="004B2C48" w:rsidRPr="001D3C44" w:rsidRDefault="004B2C48" w:rsidP="003A2320">
            <w:pPr>
              <w:spacing w:before="100" w:beforeAutospacing="1" w:after="100" w:afterAutospacing="1"/>
            </w:pPr>
            <w:r>
              <w:t>А</w:t>
            </w:r>
            <w:r w:rsidRPr="007273E8">
              <w:t>нализ  и оценк</w:t>
            </w:r>
            <w:r>
              <w:t>а</w:t>
            </w:r>
            <w:r w:rsidRPr="007273E8">
              <w:t xml:space="preserve"> законности, целесоо</w:t>
            </w:r>
            <w:r w:rsidRPr="007273E8">
              <w:t>б</w:t>
            </w:r>
            <w:r w:rsidRPr="007273E8">
              <w:lastRenderedPageBreak/>
              <w:t>разности, обоснованности, своевреме</w:t>
            </w:r>
            <w:r w:rsidRPr="007273E8">
              <w:t>н</w:t>
            </w:r>
            <w:r w:rsidRPr="007273E8">
              <w:t>ности, эффективности и результативн</w:t>
            </w:r>
            <w:r w:rsidRPr="007273E8">
              <w:t>о</w:t>
            </w:r>
            <w:r w:rsidRPr="007273E8">
              <w:t>сти расходов на закупки товаров, работ и услуг для муници</w:t>
            </w:r>
            <w:r>
              <w:t>пальных нужд в В</w:t>
            </w:r>
            <w:r>
              <w:t>е</w:t>
            </w:r>
            <w:r>
              <w:t>ребьинском сельском пос</w:t>
            </w:r>
            <w:r>
              <w:t>е</w:t>
            </w:r>
            <w:r>
              <w:t>лении</w:t>
            </w:r>
            <w:r w:rsidRPr="007273E8">
              <w:t xml:space="preserve"> </w:t>
            </w:r>
          </w:p>
        </w:tc>
        <w:tc>
          <w:tcPr>
            <w:tcW w:w="2136" w:type="dxa"/>
            <w:vAlign w:val="center"/>
          </w:tcPr>
          <w:p w:rsidR="004B2C48" w:rsidRPr="001D3C44" w:rsidRDefault="004B2C48" w:rsidP="003A2320">
            <w:pPr>
              <w:spacing w:before="100" w:beforeAutospacing="1" w:after="100" w:afterAutospacing="1"/>
              <w:jc w:val="center"/>
            </w:pPr>
          </w:p>
        </w:tc>
        <w:tc>
          <w:tcPr>
            <w:tcW w:w="2410" w:type="dxa"/>
          </w:tcPr>
          <w:p w:rsidR="004B2C48" w:rsidRPr="001D3C44" w:rsidRDefault="004B2C48" w:rsidP="003A2320">
            <w:pPr>
              <w:tabs>
                <w:tab w:val="left" w:pos="709"/>
              </w:tabs>
              <w:ind w:right="-144"/>
              <w:jc w:val="center"/>
            </w:pPr>
            <w:r w:rsidRPr="001D3C44">
              <w:t>1/</w:t>
            </w:r>
            <w:r>
              <w:t xml:space="preserve"> 584,7</w:t>
            </w:r>
          </w:p>
        </w:tc>
      </w:tr>
      <w:tr w:rsidR="004B2C48" w:rsidTr="004A0C85">
        <w:tc>
          <w:tcPr>
            <w:tcW w:w="5211" w:type="dxa"/>
            <w:vAlign w:val="center"/>
          </w:tcPr>
          <w:p w:rsidR="004B2C48" w:rsidRPr="001D3C44" w:rsidRDefault="004B2C48" w:rsidP="003A2320">
            <w:pPr>
              <w:spacing w:before="100" w:beforeAutospacing="1" w:after="100" w:afterAutospacing="1"/>
            </w:pPr>
            <w:r>
              <w:lastRenderedPageBreak/>
              <w:t>Э</w:t>
            </w:r>
            <w:r w:rsidRPr="007273E8">
              <w:t>ффективност</w:t>
            </w:r>
            <w:r>
              <w:t>ь</w:t>
            </w:r>
            <w:r w:rsidRPr="007273E8">
              <w:t xml:space="preserve"> расходования </w:t>
            </w:r>
            <w:r>
              <w:t>м</w:t>
            </w:r>
            <w:r w:rsidRPr="007273E8">
              <w:t>униц</w:t>
            </w:r>
            <w:r w:rsidRPr="007273E8">
              <w:t>и</w:t>
            </w:r>
            <w:r w:rsidRPr="007273E8">
              <w:t>пальными учреждениями бюджетных средств на оплату жилищно-коммунальных услуг, а также на мер</w:t>
            </w:r>
            <w:r w:rsidRPr="007273E8">
              <w:t>о</w:t>
            </w:r>
            <w:r w:rsidRPr="007273E8">
              <w:t>приятия в области энергосб</w:t>
            </w:r>
            <w:r w:rsidRPr="007273E8">
              <w:t>е</w:t>
            </w:r>
            <w:r w:rsidRPr="007273E8">
              <w:t>режения и энергетической эффективности</w:t>
            </w:r>
            <w:r>
              <w:t xml:space="preserve"> (</w:t>
            </w:r>
            <w:r w:rsidRPr="007273E8">
              <w:t>МАУ ДЮСШ «АРЕНА МВ»)</w:t>
            </w:r>
          </w:p>
        </w:tc>
        <w:tc>
          <w:tcPr>
            <w:tcW w:w="2136" w:type="dxa"/>
            <w:vAlign w:val="center"/>
          </w:tcPr>
          <w:p w:rsidR="004B2C48" w:rsidRPr="001D3C44" w:rsidRDefault="004B2C48" w:rsidP="003A2320">
            <w:pPr>
              <w:spacing w:before="100" w:beforeAutospacing="1" w:after="100" w:afterAutospacing="1"/>
              <w:jc w:val="center"/>
            </w:pPr>
            <w:r>
              <w:t>-</w:t>
            </w:r>
          </w:p>
        </w:tc>
        <w:tc>
          <w:tcPr>
            <w:tcW w:w="2410" w:type="dxa"/>
            <w:vAlign w:val="center"/>
          </w:tcPr>
          <w:p w:rsidR="004B2C48" w:rsidRPr="001D3C44" w:rsidRDefault="004B2C48" w:rsidP="003A2320">
            <w:pPr>
              <w:spacing w:before="100" w:beforeAutospacing="1" w:after="100" w:afterAutospacing="1"/>
              <w:jc w:val="center"/>
            </w:pPr>
            <w:r>
              <w:t>1/60,0</w:t>
            </w:r>
          </w:p>
        </w:tc>
      </w:tr>
      <w:tr w:rsidR="004B2C48" w:rsidTr="004A0C85">
        <w:tc>
          <w:tcPr>
            <w:tcW w:w="5211" w:type="dxa"/>
            <w:vAlign w:val="center"/>
          </w:tcPr>
          <w:p w:rsidR="004B2C48" w:rsidRPr="00BB5E1C" w:rsidRDefault="004B2C48" w:rsidP="003A2320">
            <w:pPr>
              <w:spacing w:before="100" w:beforeAutospacing="1" w:after="100" w:afterAutospacing="1"/>
            </w:pPr>
            <w:r w:rsidRPr="00BB5E1C">
              <w:t>Итого</w:t>
            </w:r>
          </w:p>
        </w:tc>
        <w:tc>
          <w:tcPr>
            <w:tcW w:w="2136" w:type="dxa"/>
            <w:vAlign w:val="center"/>
          </w:tcPr>
          <w:p w:rsidR="004B2C48" w:rsidRPr="00BB5E1C" w:rsidRDefault="004B2C48" w:rsidP="003A2320">
            <w:pPr>
              <w:spacing w:before="100" w:beforeAutospacing="1" w:after="100" w:afterAutospacing="1"/>
              <w:jc w:val="center"/>
            </w:pPr>
            <w:r>
              <w:t>-</w:t>
            </w:r>
          </w:p>
        </w:tc>
        <w:tc>
          <w:tcPr>
            <w:tcW w:w="2410" w:type="dxa"/>
            <w:vAlign w:val="center"/>
          </w:tcPr>
          <w:p w:rsidR="004B2C48" w:rsidRPr="00BB5E1C" w:rsidRDefault="004B2C48" w:rsidP="003A2320">
            <w:pPr>
              <w:spacing w:before="100" w:beforeAutospacing="1" w:after="100" w:afterAutospacing="1"/>
              <w:jc w:val="center"/>
            </w:pPr>
            <w:r>
              <w:t>2/644,7</w:t>
            </w:r>
          </w:p>
        </w:tc>
      </w:tr>
      <w:tr w:rsidR="004B2C48" w:rsidTr="004A0C85">
        <w:tc>
          <w:tcPr>
            <w:tcW w:w="5211" w:type="dxa"/>
            <w:vAlign w:val="center"/>
          </w:tcPr>
          <w:p w:rsidR="004B2C48" w:rsidRPr="00BB5E1C" w:rsidRDefault="004B2C48" w:rsidP="003A2320">
            <w:pPr>
              <w:spacing w:before="100" w:beforeAutospacing="1" w:after="100" w:afterAutospacing="1"/>
            </w:pPr>
            <w:r w:rsidRPr="00BB5E1C">
              <w:t>ВСЕГО</w:t>
            </w:r>
          </w:p>
        </w:tc>
        <w:tc>
          <w:tcPr>
            <w:tcW w:w="2136" w:type="dxa"/>
            <w:vAlign w:val="center"/>
          </w:tcPr>
          <w:p w:rsidR="004B2C48" w:rsidRPr="00072590" w:rsidRDefault="004B2C48" w:rsidP="003A2320">
            <w:pPr>
              <w:spacing w:before="100" w:beforeAutospacing="1" w:after="100" w:afterAutospacing="1"/>
              <w:jc w:val="center"/>
            </w:pPr>
            <w:r w:rsidRPr="00072590">
              <w:t>10</w:t>
            </w:r>
          </w:p>
        </w:tc>
        <w:tc>
          <w:tcPr>
            <w:tcW w:w="2410" w:type="dxa"/>
            <w:vAlign w:val="center"/>
          </w:tcPr>
          <w:p w:rsidR="004B2C48" w:rsidRPr="00072590" w:rsidRDefault="004B2C48" w:rsidP="003A2320">
            <w:pPr>
              <w:spacing w:before="100" w:beforeAutospacing="1" w:after="100" w:afterAutospacing="1"/>
              <w:jc w:val="center"/>
            </w:pPr>
            <w:r w:rsidRPr="00072590">
              <w:t>2/9645,4</w:t>
            </w:r>
          </w:p>
        </w:tc>
      </w:tr>
    </w:tbl>
    <w:p w:rsidR="004B2C48" w:rsidRDefault="004B2C48" w:rsidP="00916FA4">
      <w:pPr>
        <w:jc w:val="right"/>
      </w:pPr>
    </w:p>
    <w:sectPr w:rsidR="004B2C48" w:rsidSect="00916FA4">
      <w:pgSz w:w="11907" w:h="16840" w:code="9"/>
      <w:pgMar w:top="567" w:right="567" w:bottom="851"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471" w:rsidRDefault="00655471">
      <w:r>
        <w:separator/>
      </w:r>
    </w:p>
  </w:endnote>
  <w:endnote w:type="continuationSeparator" w:id="1">
    <w:p w:rsidR="00655471" w:rsidRDefault="00655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471" w:rsidRDefault="00655471">
      <w:r>
        <w:separator/>
      </w:r>
    </w:p>
  </w:footnote>
  <w:footnote w:type="continuationSeparator" w:id="1">
    <w:p w:rsidR="00655471" w:rsidRDefault="00655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C0" w:rsidRDefault="00CD49C0" w:rsidP="00E2547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49C0" w:rsidRDefault="00CD49C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C0" w:rsidRPr="00F66667" w:rsidRDefault="00CD49C0" w:rsidP="00E2547C">
    <w:pPr>
      <w:pStyle w:val="a5"/>
      <w:framePr w:wrap="around" w:vAnchor="text" w:hAnchor="margin" w:xAlign="center" w:y="1"/>
      <w:jc w:val="center"/>
      <w:rPr>
        <w:rStyle w:val="a7"/>
        <w:sz w:val="24"/>
      </w:rPr>
    </w:pPr>
    <w:r w:rsidRPr="00F66667">
      <w:rPr>
        <w:rStyle w:val="a7"/>
        <w:sz w:val="24"/>
      </w:rPr>
      <w:fldChar w:fldCharType="begin"/>
    </w:r>
    <w:r w:rsidRPr="00F66667">
      <w:rPr>
        <w:rStyle w:val="a7"/>
        <w:sz w:val="24"/>
      </w:rPr>
      <w:instrText xml:space="preserve">PAGE  </w:instrText>
    </w:r>
    <w:r w:rsidRPr="00F66667">
      <w:rPr>
        <w:rStyle w:val="a7"/>
        <w:sz w:val="24"/>
      </w:rPr>
      <w:fldChar w:fldCharType="separate"/>
    </w:r>
    <w:r w:rsidR="00B5067A">
      <w:rPr>
        <w:rStyle w:val="a7"/>
        <w:noProof/>
        <w:sz w:val="24"/>
      </w:rPr>
      <w:t>2</w:t>
    </w:r>
    <w:r w:rsidRPr="00F66667">
      <w:rPr>
        <w:rStyle w:val="a7"/>
        <w:sz w:val="24"/>
      </w:rPr>
      <w:fldChar w:fldCharType="end"/>
    </w:r>
  </w:p>
  <w:p w:rsidR="00CD49C0" w:rsidRDefault="00CD49C0" w:rsidP="00E2547C">
    <w:pPr>
      <w:pStyle w:val="a5"/>
      <w:framePr w:wrap="around" w:vAnchor="text" w:hAnchor="margin" w:xAlign="center" w:y="1"/>
      <w:rPr>
        <w:rStyle w:val="a7"/>
      </w:rPr>
    </w:pPr>
  </w:p>
  <w:p w:rsidR="00CD49C0" w:rsidRDefault="00CD49C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D2B"/>
    <w:multiLevelType w:val="multilevel"/>
    <w:tmpl w:val="464AE6C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nsid w:val="04171994"/>
    <w:multiLevelType w:val="hybridMultilevel"/>
    <w:tmpl w:val="CFA0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F131A"/>
    <w:multiLevelType w:val="multilevel"/>
    <w:tmpl w:val="C1BCFF7A"/>
    <w:lvl w:ilvl="0">
      <w:start w:val="1"/>
      <w:numFmt w:val="decimal"/>
      <w:lvlText w:val="%1."/>
      <w:lvlJc w:val="left"/>
      <w:pPr>
        <w:ind w:left="360" w:hanging="360"/>
      </w:pPr>
      <w:rPr>
        <w:rFonts w:ascii="Calibri" w:hAnsi="Calibri" w:cs="Calibri" w:hint="default"/>
        <w:sz w:val="28"/>
      </w:rPr>
    </w:lvl>
    <w:lvl w:ilvl="1">
      <w:start w:val="1"/>
      <w:numFmt w:val="decimal"/>
      <w:isLgl/>
      <w:lvlText w:val="%1.%2."/>
      <w:lvlJc w:val="left"/>
      <w:pPr>
        <w:ind w:left="735" w:hanging="720"/>
      </w:pPr>
      <w:rPr>
        <w:rFonts w:eastAsia="Times New Roman" w:hint="default"/>
      </w:rPr>
    </w:lvl>
    <w:lvl w:ilvl="2">
      <w:start w:val="1"/>
      <w:numFmt w:val="decimal"/>
      <w:isLgl/>
      <w:lvlText w:val="%1.%2.%3."/>
      <w:lvlJc w:val="left"/>
      <w:pPr>
        <w:ind w:left="750" w:hanging="720"/>
      </w:pPr>
      <w:rPr>
        <w:rFonts w:eastAsia="Times New Roman" w:hint="default"/>
      </w:rPr>
    </w:lvl>
    <w:lvl w:ilvl="3">
      <w:start w:val="1"/>
      <w:numFmt w:val="decimal"/>
      <w:isLgl/>
      <w:lvlText w:val="%1.%2.%3.%4."/>
      <w:lvlJc w:val="left"/>
      <w:pPr>
        <w:ind w:left="1125" w:hanging="1080"/>
      </w:pPr>
      <w:rPr>
        <w:rFonts w:eastAsia="Times New Roman" w:hint="default"/>
      </w:rPr>
    </w:lvl>
    <w:lvl w:ilvl="4">
      <w:start w:val="1"/>
      <w:numFmt w:val="decimal"/>
      <w:isLgl/>
      <w:lvlText w:val="%1.%2.%3.%4.%5."/>
      <w:lvlJc w:val="left"/>
      <w:pPr>
        <w:ind w:left="1140" w:hanging="1080"/>
      </w:pPr>
      <w:rPr>
        <w:rFonts w:eastAsia="Times New Roman" w:hint="default"/>
      </w:rPr>
    </w:lvl>
    <w:lvl w:ilvl="5">
      <w:start w:val="1"/>
      <w:numFmt w:val="decimal"/>
      <w:isLgl/>
      <w:lvlText w:val="%1.%2.%3.%4.%5.%6."/>
      <w:lvlJc w:val="left"/>
      <w:pPr>
        <w:ind w:left="1515" w:hanging="1440"/>
      </w:pPr>
      <w:rPr>
        <w:rFonts w:eastAsia="Times New Roman" w:hint="default"/>
      </w:rPr>
    </w:lvl>
    <w:lvl w:ilvl="6">
      <w:start w:val="1"/>
      <w:numFmt w:val="decimal"/>
      <w:isLgl/>
      <w:lvlText w:val="%1.%2.%3.%4.%5.%6.%7."/>
      <w:lvlJc w:val="left"/>
      <w:pPr>
        <w:ind w:left="1890" w:hanging="1800"/>
      </w:pPr>
      <w:rPr>
        <w:rFonts w:eastAsia="Times New Roman" w:hint="default"/>
      </w:rPr>
    </w:lvl>
    <w:lvl w:ilvl="7">
      <w:start w:val="1"/>
      <w:numFmt w:val="decimal"/>
      <w:isLgl/>
      <w:lvlText w:val="%1.%2.%3.%4.%5.%6.%7.%8."/>
      <w:lvlJc w:val="left"/>
      <w:pPr>
        <w:ind w:left="1905" w:hanging="1800"/>
      </w:pPr>
      <w:rPr>
        <w:rFonts w:eastAsia="Times New Roman" w:hint="default"/>
      </w:rPr>
    </w:lvl>
    <w:lvl w:ilvl="8">
      <w:start w:val="1"/>
      <w:numFmt w:val="decimal"/>
      <w:isLgl/>
      <w:lvlText w:val="%1.%2.%3.%4.%5.%6.%7.%8.%9."/>
      <w:lvlJc w:val="left"/>
      <w:pPr>
        <w:ind w:left="2280" w:hanging="2160"/>
      </w:pPr>
      <w:rPr>
        <w:rFonts w:eastAsia="Times New Roman" w:hint="default"/>
      </w:rPr>
    </w:lvl>
  </w:abstractNum>
  <w:abstractNum w:abstractNumId="3">
    <w:nsid w:val="0B7669D0"/>
    <w:multiLevelType w:val="hybridMultilevel"/>
    <w:tmpl w:val="90742264"/>
    <w:lvl w:ilvl="0" w:tplc="685E3F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CD21616"/>
    <w:multiLevelType w:val="multilevel"/>
    <w:tmpl w:val="536606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CD33CE6"/>
    <w:multiLevelType w:val="hybridMultilevel"/>
    <w:tmpl w:val="AD60BA0E"/>
    <w:lvl w:ilvl="0" w:tplc="FE48DAF0">
      <w:start w:val="39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5C414F"/>
    <w:multiLevelType w:val="hybridMultilevel"/>
    <w:tmpl w:val="4E267962"/>
    <w:lvl w:ilvl="0" w:tplc="3FC0FF8A">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1A5B3E32"/>
    <w:multiLevelType w:val="singleLevel"/>
    <w:tmpl w:val="32F2F75A"/>
    <w:lvl w:ilvl="0">
      <w:start w:val="1"/>
      <w:numFmt w:val="decimal"/>
      <w:lvlText w:val="%1."/>
      <w:legacy w:legacy="1" w:legacySpace="0" w:legacyIndent="279"/>
      <w:lvlJc w:val="left"/>
      <w:rPr>
        <w:rFonts w:ascii="Times New Roman" w:hAnsi="Times New Roman" w:cs="Times New Roman" w:hint="default"/>
        <w:color w:val="auto"/>
      </w:rPr>
    </w:lvl>
  </w:abstractNum>
  <w:abstractNum w:abstractNumId="8">
    <w:nsid w:val="23407B52"/>
    <w:multiLevelType w:val="hybridMultilevel"/>
    <w:tmpl w:val="0470AB60"/>
    <w:lvl w:ilvl="0" w:tplc="8620EC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9">
    <w:nsid w:val="25223B84"/>
    <w:multiLevelType w:val="hybridMultilevel"/>
    <w:tmpl w:val="B0BA4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664780"/>
    <w:multiLevelType w:val="hybridMultilevel"/>
    <w:tmpl w:val="0344B17E"/>
    <w:lvl w:ilvl="0" w:tplc="551ED9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7BC6E8C"/>
    <w:multiLevelType w:val="hybridMultilevel"/>
    <w:tmpl w:val="280CB53E"/>
    <w:lvl w:ilvl="0" w:tplc="23CE0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48CB4BB1"/>
    <w:multiLevelType w:val="multilevel"/>
    <w:tmpl w:val="5558658C"/>
    <w:lvl w:ilvl="0">
      <w:start w:val="1"/>
      <w:numFmt w:val="decimal"/>
      <w:lvlText w:val="%1."/>
      <w:lvlJc w:val="left"/>
      <w:pPr>
        <w:ind w:left="1215" w:hanging="540"/>
      </w:pPr>
      <w:rPr>
        <w:color w:val="auto"/>
      </w:rPr>
    </w:lvl>
    <w:lvl w:ilvl="1">
      <w:start w:val="1"/>
      <w:numFmt w:val="decimal"/>
      <w:isLgl/>
      <w:lvlText w:val="%1.%2."/>
      <w:lvlJc w:val="left"/>
      <w:pPr>
        <w:ind w:left="1429" w:hanging="720"/>
      </w:pPr>
      <w:rPr>
        <w:color w:val="000000"/>
      </w:rPr>
    </w:lvl>
    <w:lvl w:ilvl="2">
      <w:start w:val="1"/>
      <w:numFmt w:val="decimal"/>
      <w:isLgl/>
      <w:lvlText w:val="%1.%2.%3."/>
      <w:lvlJc w:val="left"/>
      <w:pPr>
        <w:ind w:left="1395" w:hanging="720"/>
      </w:pPr>
      <w:rPr>
        <w:color w:val="000000"/>
      </w:rPr>
    </w:lvl>
    <w:lvl w:ilvl="3">
      <w:start w:val="1"/>
      <w:numFmt w:val="decimal"/>
      <w:isLgl/>
      <w:lvlText w:val="%1.%2.%3.%4."/>
      <w:lvlJc w:val="left"/>
      <w:pPr>
        <w:ind w:left="1755" w:hanging="1080"/>
      </w:pPr>
      <w:rPr>
        <w:color w:val="000000"/>
      </w:rPr>
    </w:lvl>
    <w:lvl w:ilvl="4">
      <w:start w:val="1"/>
      <w:numFmt w:val="decimal"/>
      <w:isLgl/>
      <w:lvlText w:val="%1.%2.%3.%4.%5."/>
      <w:lvlJc w:val="left"/>
      <w:pPr>
        <w:ind w:left="1755" w:hanging="1080"/>
      </w:pPr>
      <w:rPr>
        <w:color w:val="000000"/>
      </w:rPr>
    </w:lvl>
    <w:lvl w:ilvl="5">
      <w:start w:val="1"/>
      <w:numFmt w:val="decimal"/>
      <w:isLgl/>
      <w:lvlText w:val="%1.%2.%3.%4.%5.%6."/>
      <w:lvlJc w:val="left"/>
      <w:pPr>
        <w:ind w:left="2115" w:hanging="1440"/>
      </w:pPr>
      <w:rPr>
        <w:color w:val="000000"/>
      </w:rPr>
    </w:lvl>
    <w:lvl w:ilvl="6">
      <w:start w:val="1"/>
      <w:numFmt w:val="decimal"/>
      <w:isLgl/>
      <w:lvlText w:val="%1.%2.%3.%4.%5.%6.%7."/>
      <w:lvlJc w:val="left"/>
      <w:pPr>
        <w:ind w:left="2475" w:hanging="1800"/>
      </w:pPr>
      <w:rPr>
        <w:color w:val="000000"/>
      </w:rPr>
    </w:lvl>
    <w:lvl w:ilvl="7">
      <w:start w:val="1"/>
      <w:numFmt w:val="decimal"/>
      <w:isLgl/>
      <w:lvlText w:val="%1.%2.%3.%4.%5.%6.%7.%8."/>
      <w:lvlJc w:val="left"/>
      <w:pPr>
        <w:ind w:left="2475" w:hanging="1800"/>
      </w:pPr>
      <w:rPr>
        <w:color w:val="000000"/>
      </w:rPr>
    </w:lvl>
    <w:lvl w:ilvl="8">
      <w:start w:val="1"/>
      <w:numFmt w:val="decimal"/>
      <w:isLgl/>
      <w:lvlText w:val="%1.%2.%3.%4.%5.%6.%7.%8.%9."/>
      <w:lvlJc w:val="left"/>
      <w:pPr>
        <w:ind w:left="2835" w:hanging="2160"/>
      </w:pPr>
      <w:rPr>
        <w:color w:val="000000"/>
      </w:rPr>
    </w:lvl>
  </w:abstractNum>
  <w:abstractNum w:abstractNumId="13">
    <w:nsid w:val="4C4E0C9E"/>
    <w:multiLevelType w:val="hybridMultilevel"/>
    <w:tmpl w:val="4288E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CB410F"/>
    <w:multiLevelType w:val="hybridMultilevel"/>
    <w:tmpl w:val="E24E6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2426D7C"/>
    <w:multiLevelType w:val="hybridMultilevel"/>
    <w:tmpl w:val="B5061C96"/>
    <w:lvl w:ilvl="0" w:tplc="806C305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5ADC04F2"/>
    <w:multiLevelType w:val="hybridMultilevel"/>
    <w:tmpl w:val="D4DEED98"/>
    <w:lvl w:ilvl="0" w:tplc="737609A4">
      <w:start w:val="1"/>
      <w:numFmt w:val="decimal"/>
      <w:lvlText w:val="%1."/>
      <w:lvlJc w:val="left"/>
      <w:pPr>
        <w:tabs>
          <w:tab w:val="num" w:pos="720"/>
        </w:tabs>
        <w:ind w:left="720" w:hanging="360"/>
      </w:pPr>
      <w:rPr>
        <w:rFonts w:hint="default"/>
      </w:rPr>
    </w:lvl>
    <w:lvl w:ilvl="1" w:tplc="306ACF30">
      <w:numFmt w:val="none"/>
      <w:lvlText w:val=""/>
      <w:lvlJc w:val="left"/>
      <w:pPr>
        <w:tabs>
          <w:tab w:val="num" w:pos="360"/>
        </w:tabs>
      </w:pPr>
    </w:lvl>
    <w:lvl w:ilvl="2" w:tplc="11A09A00">
      <w:numFmt w:val="none"/>
      <w:lvlText w:val=""/>
      <w:lvlJc w:val="left"/>
      <w:pPr>
        <w:tabs>
          <w:tab w:val="num" w:pos="360"/>
        </w:tabs>
      </w:pPr>
    </w:lvl>
    <w:lvl w:ilvl="3" w:tplc="76AABA32">
      <w:numFmt w:val="none"/>
      <w:lvlText w:val=""/>
      <w:lvlJc w:val="left"/>
      <w:pPr>
        <w:tabs>
          <w:tab w:val="num" w:pos="360"/>
        </w:tabs>
      </w:pPr>
    </w:lvl>
    <w:lvl w:ilvl="4" w:tplc="89E477DE">
      <w:numFmt w:val="none"/>
      <w:lvlText w:val=""/>
      <w:lvlJc w:val="left"/>
      <w:pPr>
        <w:tabs>
          <w:tab w:val="num" w:pos="360"/>
        </w:tabs>
      </w:pPr>
    </w:lvl>
    <w:lvl w:ilvl="5" w:tplc="1036248C">
      <w:numFmt w:val="none"/>
      <w:lvlText w:val=""/>
      <w:lvlJc w:val="left"/>
      <w:pPr>
        <w:tabs>
          <w:tab w:val="num" w:pos="360"/>
        </w:tabs>
      </w:pPr>
    </w:lvl>
    <w:lvl w:ilvl="6" w:tplc="6DF6DFE8">
      <w:numFmt w:val="none"/>
      <w:lvlText w:val=""/>
      <w:lvlJc w:val="left"/>
      <w:pPr>
        <w:tabs>
          <w:tab w:val="num" w:pos="360"/>
        </w:tabs>
      </w:pPr>
    </w:lvl>
    <w:lvl w:ilvl="7" w:tplc="74D81658">
      <w:numFmt w:val="none"/>
      <w:lvlText w:val=""/>
      <w:lvlJc w:val="left"/>
      <w:pPr>
        <w:tabs>
          <w:tab w:val="num" w:pos="360"/>
        </w:tabs>
      </w:pPr>
    </w:lvl>
    <w:lvl w:ilvl="8" w:tplc="722EDED8">
      <w:numFmt w:val="none"/>
      <w:lvlText w:val=""/>
      <w:lvlJc w:val="left"/>
      <w:pPr>
        <w:tabs>
          <w:tab w:val="num" w:pos="360"/>
        </w:tabs>
      </w:pPr>
    </w:lvl>
  </w:abstractNum>
  <w:abstractNum w:abstractNumId="17">
    <w:nsid w:val="61EB2F85"/>
    <w:multiLevelType w:val="multilevel"/>
    <w:tmpl w:val="E9367C5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BA43EFD"/>
    <w:multiLevelType w:val="hybridMultilevel"/>
    <w:tmpl w:val="7A00CB20"/>
    <w:lvl w:ilvl="0" w:tplc="037ACD96">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D99650B"/>
    <w:multiLevelType w:val="hybridMultilevel"/>
    <w:tmpl w:val="0478A9AE"/>
    <w:lvl w:ilvl="0" w:tplc="143EF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F4E52E1"/>
    <w:multiLevelType w:val="hybridMultilevel"/>
    <w:tmpl w:val="12CC90BE"/>
    <w:lvl w:ilvl="0" w:tplc="9362C1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7F15B1"/>
    <w:multiLevelType w:val="multilevel"/>
    <w:tmpl w:val="FD3CA52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72196C04"/>
    <w:multiLevelType w:val="hybridMultilevel"/>
    <w:tmpl w:val="4AFC2D44"/>
    <w:lvl w:ilvl="0" w:tplc="69345ECC">
      <w:start w:val="2"/>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24">
    <w:nsid w:val="72C67277"/>
    <w:multiLevelType w:val="hybridMultilevel"/>
    <w:tmpl w:val="6B2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6657A7"/>
    <w:multiLevelType w:val="hybridMultilevel"/>
    <w:tmpl w:val="428E9EE0"/>
    <w:lvl w:ilvl="0" w:tplc="FE12C12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6">
    <w:nsid w:val="75824200"/>
    <w:multiLevelType w:val="hybridMultilevel"/>
    <w:tmpl w:val="5F908362"/>
    <w:lvl w:ilvl="0" w:tplc="81D07B8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5EC219A"/>
    <w:multiLevelType w:val="hybridMultilevel"/>
    <w:tmpl w:val="DAEA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7107FBE"/>
    <w:multiLevelType w:val="multilevel"/>
    <w:tmpl w:val="12A474D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9">
    <w:nsid w:val="793F2FED"/>
    <w:multiLevelType w:val="hybridMultilevel"/>
    <w:tmpl w:val="13D0782E"/>
    <w:lvl w:ilvl="0" w:tplc="79529A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C713D0C"/>
    <w:multiLevelType w:val="hybridMultilevel"/>
    <w:tmpl w:val="2640B192"/>
    <w:lvl w:ilvl="0" w:tplc="D0F27E5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21"/>
  </w:num>
  <w:num w:numId="2">
    <w:abstractNumId w:val="27"/>
  </w:num>
  <w:num w:numId="3">
    <w:abstractNumId w:val="13"/>
  </w:num>
  <w:num w:numId="4">
    <w:abstractNumId w:val="24"/>
  </w:num>
  <w:num w:numId="5">
    <w:abstractNumId w:val="30"/>
  </w:num>
  <w:num w:numId="6">
    <w:abstractNumId w:val="16"/>
  </w:num>
  <w:num w:numId="7">
    <w:abstractNumId w:val="11"/>
  </w:num>
  <w:num w:numId="8">
    <w:abstractNumId w:val="26"/>
  </w:num>
  <w:num w:numId="9">
    <w:abstractNumId w:val="8"/>
  </w:num>
  <w:num w:numId="10">
    <w:abstractNumId w:val="9"/>
  </w:num>
  <w:num w:numId="11">
    <w:abstractNumId w:val="23"/>
  </w:num>
  <w:num w:numId="12">
    <w:abstractNumId w:val="2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 w:numId="16">
    <w:abstractNumId w:val="28"/>
  </w:num>
  <w:num w:numId="17">
    <w:abstractNumId w:val="3"/>
  </w:num>
  <w:num w:numId="18">
    <w:abstractNumId w:val="7"/>
  </w:num>
  <w:num w:numId="19">
    <w:abstractNumId w:val="0"/>
  </w:num>
  <w:num w:numId="20">
    <w:abstractNumId w:val="2"/>
  </w:num>
  <w:num w:numId="21">
    <w:abstractNumId w:val="17"/>
  </w:num>
  <w:num w:numId="22">
    <w:abstractNumId w:val="4"/>
  </w:num>
  <w:num w:numId="23">
    <w:abstractNumId w:val="19"/>
  </w:num>
  <w:num w:numId="24">
    <w:abstractNumId w:val="25"/>
  </w:num>
  <w:num w:numId="25">
    <w:abstractNumId w:val="10"/>
  </w:num>
  <w:num w:numId="26">
    <w:abstractNumId w:val="5"/>
  </w:num>
  <w:num w:numId="27">
    <w:abstractNumId w:val="20"/>
  </w:num>
  <w:num w:numId="28">
    <w:abstractNumId w:val="18"/>
  </w:num>
  <w:num w:numId="29">
    <w:abstractNumId w:val="14"/>
  </w:num>
  <w:num w:numId="30">
    <w:abstractNumId w:val="22"/>
  </w:num>
  <w:num w:numId="31">
    <w:abstractNumId w:val="15"/>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autoHyphenation/>
  <w:hyphenationZone w:val="357"/>
  <w:drawingGridHorizontalSpacing w:val="140"/>
  <w:drawingGridVerticalSpacing w:val="381"/>
  <w:displayHorizont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C41242"/>
    <w:rsid w:val="00000FD2"/>
    <w:rsid w:val="00001178"/>
    <w:rsid w:val="0000183F"/>
    <w:rsid w:val="000028E4"/>
    <w:rsid w:val="00003F6D"/>
    <w:rsid w:val="000049BE"/>
    <w:rsid w:val="000076BF"/>
    <w:rsid w:val="00007796"/>
    <w:rsid w:val="00011FEB"/>
    <w:rsid w:val="00013305"/>
    <w:rsid w:val="00013611"/>
    <w:rsid w:val="00013CEB"/>
    <w:rsid w:val="000158CE"/>
    <w:rsid w:val="00016BE8"/>
    <w:rsid w:val="00017864"/>
    <w:rsid w:val="00022625"/>
    <w:rsid w:val="00022DD0"/>
    <w:rsid w:val="00023045"/>
    <w:rsid w:val="00024274"/>
    <w:rsid w:val="00024E19"/>
    <w:rsid w:val="00025655"/>
    <w:rsid w:val="000272C2"/>
    <w:rsid w:val="00027910"/>
    <w:rsid w:val="00027A41"/>
    <w:rsid w:val="00030EF4"/>
    <w:rsid w:val="00030F7A"/>
    <w:rsid w:val="00031240"/>
    <w:rsid w:val="00031592"/>
    <w:rsid w:val="00032EA4"/>
    <w:rsid w:val="0003781D"/>
    <w:rsid w:val="000402C1"/>
    <w:rsid w:val="00041400"/>
    <w:rsid w:val="00042C5B"/>
    <w:rsid w:val="00044600"/>
    <w:rsid w:val="0005067E"/>
    <w:rsid w:val="000510F7"/>
    <w:rsid w:val="0005176B"/>
    <w:rsid w:val="00055E4F"/>
    <w:rsid w:val="00061AF1"/>
    <w:rsid w:val="00062584"/>
    <w:rsid w:val="00062908"/>
    <w:rsid w:val="00063374"/>
    <w:rsid w:val="000635B2"/>
    <w:rsid w:val="00063A10"/>
    <w:rsid w:val="00064A28"/>
    <w:rsid w:val="00065537"/>
    <w:rsid w:val="00065CC6"/>
    <w:rsid w:val="00070BA6"/>
    <w:rsid w:val="00070F36"/>
    <w:rsid w:val="00075157"/>
    <w:rsid w:val="00075800"/>
    <w:rsid w:val="00076473"/>
    <w:rsid w:val="0007790F"/>
    <w:rsid w:val="00081811"/>
    <w:rsid w:val="00082244"/>
    <w:rsid w:val="000836E1"/>
    <w:rsid w:val="00083E89"/>
    <w:rsid w:val="00084FCF"/>
    <w:rsid w:val="000911A7"/>
    <w:rsid w:val="00094016"/>
    <w:rsid w:val="000950F4"/>
    <w:rsid w:val="000A2AAA"/>
    <w:rsid w:val="000A2E90"/>
    <w:rsid w:val="000A39D0"/>
    <w:rsid w:val="000A611C"/>
    <w:rsid w:val="000A699C"/>
    <w:rsid w:val="000B103F"/>
    <w:rsid w:val="000B331B"/>
    <w:rsid w:val="000B3C38"/>
    <w:rsid w:val="000B67F6"/>
    <w:rsid w:val="000B7842"/>
    <w:rsid w:val="000C4B43"/>
    <w:rsid w:val="000C4B90"/>
    <w:rsid w:val="000C6AC7"/>
    <w:rsid w:val="000C6E5F"/>
    <w:rsid w:val="000C7717"/>
    <w:rsid w:val="000D02A7"/>
    <w:rsid w:val="000D0929"/>
    <w:rsid w:val="000D0B4B"/>
    <w:rsid w:val="000D3A69"/>
    <w:rsid w:val="000D5A58"/>
    <w:rsid w:val="000E52E7"/>
    <w:rsid w:val="000E548B"/>
    <w:rsid w:val="000F102E"/>
    <w:rsid w:val="000F1708"/>
    <w:rsid w:val="000F240E"/>
    <w:rsid w:val="000F2524"/>
    <w:rsid w:val="000F44E5"/>
    <w:rsid w:val="000F5161"/>
    <w:rsid w:val="000F6B11"/>
    <w:rsid w:val="000F6CA4"/>
    <w:rsid w:val="000F6E19"/>
    <w:rsid w:val="000F6EE1"/>
    <w:rsid w:val="000F7B0D"/>
    <w:rsid w:val="0010034A"/>
    <w:rsid w:val="0010070A"/>
    <w:rsid w:val="00100887"/>
    <w:rsid w:val="00104E15"/>
    <w:rsid w:val="001062E5"/>
    <w:rsid w:val="00107EAC"/>
    <w:rsid w:val="00113392"/>
    <w:rsid w:val="00113406"/>
    <w:rsid w:val="0011465E"/>
    <w:rsid w:val="00120C92"/>
    <w:rsid w:val="0012312C"/>
    <w:rsid w:val="00125BA9"/>
    <w:rsid w:val="001330C1"/>
    <w:rsid w:val="00133D6C"/>
    <w:rsid w:val="00134DFB"/>
    <w:rsid w:val="00134FAD"/>
    <w:rsid w:val="00142FA0"/>
    <w:rsid w:val="0014387C"/>
    <w:rsid w:val="00146177"/>
    <w:rsid w:val="0015065B"/>
    <w:rsid w:val="00154FB2"/>
    <w:rsid w:val="00162884"/>
    <w:rsid w:val="00165121"/>
    <w:rsid w:val="00166691"/>
    <w:rsid w:val="00166A29"/>
    <w:rsid w:val="0016737F"/>
    <w:rsid w:val="001711DD"/>
    <w:rsid w:val="00172A0C"/>
    <w:rsid w:val="00174CA0"/>
    <w:rsid w:val="00176697"/>
    <w:rsid w:val="00176902"/>
    <w:rsid w:val="00177662"/>
    <w:rsid w:val="00180440"/>
    <w:rsid w:val="001855EA"/>
    <w:rsid w:val="00187340"/>
    <w:rsid w:val="0019300C"/>
    <w:rsid w:val="00196247"/>
    <w:rsid w:val="0019640A"/>
    <w:rsid w:val="00197216"/>
    <w:rsid w:val="001979B2"/>
    <w:rsid w:val="00197FCC"/>
    <w:rsid w:val="001A3658"/>
    <w:rsid w:val="001A4458"/>
    <w:rsid w:val="001A4B23"/>
    <w:rsid w:val="001A550E"/>
    <w:rsid w:val="001A6483"/>
    <w:rsid w:val="001B23D6"/>
    <w:rsid w:val="001B3804"/>
    <w:rsid w:val="001B3F22"/>
    <w:rsid w:val="001B423C"/>
    <w:rsid w:val="001B579F"/>
    <w:rsid w:val="001B5F8F"/>
    <w:rsid w:val="001B7F50"/>
    <w:rsid w:val="001C0A6A"/>
    <w:rsid w:val="001C3BCE"/>
    <w:rsid w:val="001D101C"/>
    <w:rsid w:val="001D253A"/>
    <w:rsid w:val="001D3E5E"/>
    <w:rsid w:val="001D402E"/>
    <w:rsid w:val="001D79C2"/>
    <w:rsid w:val="001E1874"/>
    <w:rsid w:val="001E18F6"/>
    <w:rsid w:val="001E707C"/>
    <w:rsid w:val="001E7B25"/>
    <w:rsid w:val="001F08A9"/>
    <w:rsid w:val="001F14CD"/>
    <w:rsid w:val="001F155D"/>
    <w:rsid w:val="001F4D6E"/>
    <w:rsid w:val="001F6766"/>
    <w:rsid w:val="001F7EF5"/>
    <w:rsid w:val="00200B42"/>
    <w:rsid w:val="002020CC"/>
    <w:rsid w:val="00205FED"/>
    <w:rsid w:val="00206C71"/>
    <w:rsid w:val="0021106D"/>
    <w:rsid w:val="00217405"/>
    <w:rsid w:val="00221C3F"/>
    <w:rsid w:val="002232BA"/>
    <w:rsid w:val="00223585"/>
    <w:rsid w:val="00226863"/>
    <w:rsid w:val="00227788"/>
    <w:rsid w:val="00227858"/>
    <w:rsid w:val="0023169E"/>
    <w:rsid w:val="00241F60"/>
    <w:rsid w:val="00244886"/>
    <w:rsid w:val="00245E6B"/>
    <w:rsid w:val="00254B32"/>
    <w:rsid w:val="0025676D"/>
    <w:rsid w:val="00257023"/>
    <w:rsid w:val="0026293B"/>
    <w:rsid w:val="00265EC8"/>
    <w:rsid w:val="002660BC"/>
    <w:rsid w:val="00267F31"/>
    <w:rsid w:val="00273DD4"/>
    <w:rsid w:val="00275BAE"/>
    <w:rsid w:val="00277C1F"/>
    <w:rsid w:val="002805DD"/>
    <w:rsid w:val="0028321D"/>
    <w:rsid w:val="00283810"/>
    <w:rsid w:val="00284884"/>
    <w:rsid w:val="00284FF6"/>
    <w:rsid w:val="00285111"/>
    <w:rsid w:val="00285B86"/>
    <w:rsid w:val="00285D98"/>
    <w:rsid w:val="002869F3"/>
    <w:rsid w:val="00294BEB"/>
    <w:rsid w:val="00295350"/>
    <w:rsid w:val="00295C18"/>
    <w:rsid w:val="00296E59"/>
    <w:rsid w:val="002A21CE"/>
    <w:rsid w:val="002A78C8"/>
    <w:rsid w:val="002B1639"/>
    <w:rsid w:val="002B4CDD"/>
    <w:rsid w:val="002B745F"/>
    <w:rsid w:val="002C1B71"/>
    <w:rsid w:val="002C2000"/>
    <w:rsid w:val="002C363E"/>
    <w:rsid w:val="002C63AD"/>
    <w:rsid w:val="002C6F7A"/>
    <w:rsid w:val="002D029D"/>
    <w:rsid w:val="002D149A"/>
    <w:rsid w:val="002D1D78"/>
    <w:rsid w:val="002D31EF"/>
    <w:rsid w:val="002D38F5"/>
    <w:rsid w:val="002D4298"/>
    <w:rsid w:val="002D6BE6"/>
    <w:rsid w:val="002D6C39"/>
    <w:rsid w:val="002E63E8"/>
    <w:rsid w:val="002E7122"/>
    <w:rsid w:val="002F14EB"/>
    <w:rsid w:val="002F6F11"/>
    <w:rsid w:val="002F701F"/>
    <w:rsid w:val="002F7094"/>
    <w:rsid w:val="00303D98"/>
    <w:rsid w:val="00306773"/>
    <w:rsid w:val="0031623E"/>
    <w:rsid w:val="00322035"/>
    <w:rsid w:val="00322185"/>
    <w:rsid w:val="00322F39"/>
    <w:rsid w:val="00323145"/>
    <w:rsid w:val="003312C5"/>
    <w:rsid w:val="00331BAA"/>
    <w:rsid w:val="0033319C"/>
    <w:rsid w:val="0033432F"/>
    <w:rsid w:val="00341CE0"/>
    <w:rsid w:val="00347AB5"/>
    <w:rsid w:val="00350AF7"/>
    <w:rsid w:val="003528FD"/>
    <w:rsid w:val="003531B5"/>
    <w:rsid w:val="0035421A"/>
    <w:rsid w:val="00355F21"/>
    <w:rsid w:val="0035767B"/>
    <w:rsid w:val="0036290D"/>
    <w:rsid w:val="0036303C"/>
    <w:rsid w:val="00370A08"/>
    <w:rsid w:val="00371067"/>
    <w:rsid w:val="00371E3E"/>
    <w:rsid w:val="0037289C"/>
    <w:rsid w:val="0037493B"/>
    <w:rsid w:val="003760A8"/>
    <w:rsid w:val="003763BB"/>
    <w:rsid w:val="0037644D"/>
    <w:rsid w:val="003775B7"/>
    <w:rsid w:val="00383102"/>
    <w:rsid w:val="003842A9"/>
    <w:rsid w:val="003916C5"/>
    <w:rsid w:val="00391CAA"/>
    <w:rsid w:val="003921C2"/>
    <w:rsid w:val="0039760A"/>
    <w:rsid w:val="003976E9"/>
    <w:rsid w:val="003A2320"/>
    <w:rsid w:val="003A28D9"/>
    <w:rsid w:val="003B25B2"/>
    <w:rsid w:val="003B489C"/>
    <w:rsid w:val="003B5F12"/>
    <w:rsid w:val="003B7B1C"/>
    <w:rsid w:val="003B7B48"/>
    <w:rsid w:val="003C3147"/>
    <w:rsid w:val="003C3A0F"/>
    <w:rsid w:val="003C54B2"/>
    <w:rsid w:val="003C65B5"/>
    <w:rsid w:val="003D0880"/>
    <w:rsid w:val="003D1617"/>
    <w:rsid w:val="003D2BF3"/>
    <w:rsid w:val="003D2D07"/>
    <w:rsid w:val="003D3C49"/>
    <w:rsid w:val="003D6FF1"/>
    <w:rsid w:val="003D7CC2"/>
    <w:rsid w:val="003E002F"/>
    <w:rsid w:val="003E195B"/>
    <w:rsid w:val="003E1DB5"/>
    <w:rsid w:val="003F1AB9"/>
    <w:rsid w:val="003F4E02"/>
    <w:rsid w:val="003F53DF"/>
    <w:rsid w:val="003F6029"/>
    <w:rsid w:val="003F777B"/>
    <w:rsid w:val="003F782D"/>
    <w:rsid w:val="003F7F55"/>
    <w:rsid w:val="00401540"/>
    <w:rsid w:val="00402C0A"/>
    <w:rsid w:val="00410699"/>
    <w:rsid w:val="00411952"/>
    <w:rsid w:val="00411B22"/>
    <w:rsid w:val="00413672"/>
    <w:rsid w:val="00415BEE"/>
    <w:rsid w:val="00415D4A"/>
    <w:rsid w:val="00416632"/>
    <w:rsid w:val="00416DD9"/>
    <w:rsid w:val="004213AB"/>
    <w:rsid w:val="00423B88"/>
    <w:rsid w:val="0042688C"/>
    <w:rsid w:val="0043221C"/>
    <w:rsid w:val="00433395"/>
    <w:rsid w:val="00441E9A"/>
    <w:rsid w:val="0045159C"/>
    <w:rsid w:val="00452258"/>
    <w:rsid w:val="004528CF"/>
    <w:rsid w:val="00454312"/>
    <w:rsid w:val="004552F6"/>
    <w:rsid w:val="004554E1"/>
    <w:rsid w:val="00457188"/>
    <w:rsid w:val="00461233"/>
    <w:rsid w:val="00461A13"/>
    <w:rsid w:val="00461C13"/>
    <w:rsid w:val="00464145"/>
    <w:rsid w:val="00467B1A"/>
    <w:rsid w:val="004721B8"/>
    <w:rsid w:val="00473F3A"/>
    <w:rsid w:val="004744E1"/>
    <w:rsid w:val="00475F6B"/>
    <w:rsid w:val="0047634C"/>
    <w:rsid w:val="0048174F"/>
    <w:rsid w:val="004822AF"/>
    <w:rsid w:val="00485BA0"/>
    <w:rsid w:val="00487D2A"/>
    <w:rsid w:val="00490008"/>
    <w:rsid w:val="00491EBF"/>
    <w:rsid w:val="00493B2C"/>
    <w:rsid w:val="00493B51"/>
    <w:rsid w:val="00495672"/>
    <w:rsid w:val="00497DD9"/>
    <w:rsid w:val="004A0C85"/>
    <w:rsid w:val="004A319E"/>
    <w:rsid w:val="004A3955"/>
    <w:rsid w:val="004A3A9A"/>
    <w:rsid w:val="004A44C3"/>
    <w:rsid w:val="004A47E4"/>
    <w:rsid w:val="004A628B"/>
    <w:rsid w:val="004A6612"/>
    <w:rsid w:val="004B061B"/>
    <w:rsid w:val="004B071B"/>
    <w:rsid w:val="004B20B6"/>
    <w:rsid w:val="004B2C48"/>
    <w:rsid w:val="004B2CAB"/>
    <w:rsid w:val="004B7E5B"/>
    <w:rsid w:val="004C5494"/>
    <w:rsid w:val="004C65D0"/>
    <w:rsid w:val="004D0671"/>
    <w:rsid w:val="004D288B"/>
    <w:rsid w:val="004D3C04"/>
    <w:rsid w:val="004E0857"/>
    <w:rsid w:val="004E09D5"/>
    <w:rsid w:val="004E2396"/>
    <w:rsid w:val="004E3DE1"/>
    <w:rsid w:val="004E47E8"/>
    <w:rsid w:val="004E77DE"/>
    <w:rsid w:val="004F03DE"/>
    <w:rsid w:val="004F24BA"/>
    <w:rsid w:val="004F25E3"/>
    <w:rsid w:val="004F3625"/>
    <w:rsid w:val="004F5A78"/>
    <w:rsid w:val="004F5E3A"/>
    <w:rsid w:val="004F671B"/>
    <w:rsid w:val="004F6C4C"/>
    <w:rsid w:val="004F7FC6"/>
    <w:rsid w:val="00501865"/>
    <w:rsid w:val="0051000F"/>
    <w:rsid w:val="0051144B"/>
    <w:rsid w:val="00511EFA"/>
    <w:rsid w:val="005141DB"/>
    <w:rsid w:val="00514FFF"/>
    <w:rsid w:val="005178B3"/>
    <w:rsid w:val="00523FA3"/>
    <w:rsid w:val="0052584B"/>
    <w:rsid w:val="00526535"/>
    <w:rsid w:val="00531390"/>
    <w:rsid w:val="00534B63"/>
    <w:rsid w:val="00535ACC"/>
    <w:rsid w:val="00535BE2"/>
    <w:rsid w:val="00536E66"/>
    <w:rsid w:val="00537209"/>
    <w:rsid w:val="00541239"/>
    <w:rsid w:val="005458A1"/>
    <w:rsid w:val="005478A8"/>
    <w:rsid w:val="005502E1"/>
    <w:rsid w:val="00552CF1"/>
    <w:rsid w:val="00562FD7"/>
    <w:rsid w:val="00567676"/>
    <w:rsid w:val="0056787C"/>
    <w:rsid w:val="00571D07"/>
    <w:rsid w:val="00577A0F"/>
    <w:rsid w:val="00580CA8"/>
    <w:rsid w:val="005817A0"/>
    <w:rsid w:val="00585ECA"/>
    <w:rsid w:val="0059127C"/>
    <w:rsid w:val="0059215C"/>
    <w:rsid w:val="00595122"/>
    <w:rsid w:val="00595A5A"/>
    <w:rsid w:val="00595FEE"/>
    <w:rsid w:val="005A2A16"/>
    <w:rsid w:val="005A3CD5"/>
    <w:rsid w:val="005A40C8"/>
    <w:rsid w:val="005A6D1F"/>
    <w:rsid w:val="005B01D0"/>
    <w:rsid w:val="005B07AE"/>
    <w:rsid w:val="005B130C"/>
    <w:rsid w:val="005B7AF7"/>
    <w:rsid w:val="005C0E2F"/>
    <w:rsid w:val="005C40A9"/>
    <w:rsid w:val="005C68A1"/>
    <w:rsid w:val="005D0077"/>
    <w:rsid w:val="005D1C36"/>
    <w:rsid w:val="005D2488"/>
    <w:rsid w:val="005D3F3B"/>
    <w:rsid w:val="005D4619"/>
    <w:rsid w:val="005D6EBF"/>
    <w:rsid w:val="005D7335"/>
    <w:rsid w:val="005E0D39"/>
    <w:rsid w:val="005E2403"/>
    <w:rsid w:val="005E3324"/>
    <w:rsid w:val="005F07A8"/>
    <w:rsid w:val="005F136C"/>
    <w:rsid w:val="005F273F"/>
    <w:rsid w:val="005F39D0"/>
    <w:rsid w:val="005F54B9"/>
    <w:rsid w:val="005F60A8"/>
    <w:rsid w:val="005F6239"/>
    <w:rsid w:val="00600148"/>
    <w:rsid w:val="00602F89"/>
    <w:rsid w:val="00605702"/>
    <w:rsid w:val="00606660"/>
    <w:rsid w:val="0060777C"/>
    <w:rsid w:val="006110C7"/>
    <w:rsid w:val="006121F0"/>
    <w:rsid w:val="0061629D"/>
    <w:rsid w:val="00617512"/>
    <w:rsid w:val="00621048"/>
    <w:rsid w:val="006217B4"/>
    <w:rsid w:val="00621FFF"/>
    <w:rsid w:val="00622071"/>
    <w:rsid w:val="00622A4A"/>
    <w:rsid w:val="006236D9"/>
    <w:rsid w:val="0062554E"/>
    <w:rsid w:val="006303E1"/>
    <w:rsid w:val="00631FD8"/>
    <w:rsid w:val="00634025"/>
    <w:rsid w:val="0063454A"/>
    <w:rsid w:val="006368FE"/>
    <w:rsid w:val="006439C1"/>
    <w:rsid w:val="006517B4"/>
    <w:rsid w:val="00651CC4"/>
    <w:rsid w:val="00655471"/>
    <w:rsid w:val="00656401"/>
    <w:rsid w:val="00656EF0"/>
    <w:rsid w:val="006600BA"/>
    <w:rsid w:val="00664B0F"/>
    <w:rsid w:val="00665AB5"/>
    <w:rsid w:val="00673DE9"/>
    <w:rsid w:val="00675EE2"/>
    <w:rsid w:val="0068015B"/>
    <w:rsid w:val="00685E06"/>
    <w:rsid w:val="006863A2"/>
    <w:rsid w:val="0069554C"/>
    <w:rsid w:val="006A21DD"/>
    <w:rsid w:val="006A3A80"/>
    <w:rsid w:val="006A4B40"/>
    <w:rsid w:val="006A770F"/>
    <w:rsid w:val="006B13B0"/>
    <w:rsid w:val="006B17DC"/>
    <w:rsid w:val="006B1C45"/>
    <w:rsid w:val="006B26B4"/>
    <w:rsid w:val="006B2F07"/>
    <w:rsid w:val="006B6D6D"/>
    <w:rsid w:val="006C5C57"/>
    <w:rsid w:val="006C7915"/>
    <w:rsid w:val="006C7AC9"/>
    <w:rsid w:val="006D1020"/>
    <w:rsid w:val="006D1958"/>
    <w:rsid w:val="006D4B64"/>
    <w:rsid w:val="006E50CE"/>
    <w:rsid w:val="006E5394"/>
    <w:rsid w:val="006E59A7"/>
    <w:rsid w:val="006E5BEC"/>
    <w:rsid w:val="006E7A18"/>
    <w:rsid w:val="006F0E12"/>
    <w:rsid w:val="006F20DB"/>
    <w:rsid w:val="006F2E6E"/>
    <w:rsid w:val="006F2F46"/>
    <w:rsid w:val="006F6685"/>
    <w:rsid w:val="006F76D9"/>
    <w:rsid w:val="006F7843"/>
    <w:rsid w:val="00700DE4"/>
    <w:rsid w:val="007045F2"/>
    <w:rsid w:val="007055CB"/>
    <w:rsid w:val="00705E24"/>
    <w:rsid w:val="00706475"/>
    <w:rsid w:val="007121DF"/>
    <w:rsid w:val="007129CE"/>
    <w:rsid w:val="007137A7"/>
    <w:rsid w:val="00714FD7"/>
    <w:rsid w:val="007164FC"/>
    <w:rsid w:val="007166CA"/>
    <w:rsid w:val="00720911"/>
    <w:rsid w:val="00721CE7"/>
    <w:rsid w:val="007273E5"/>
    <w:rsid w:val="007277E5"/>
    <w:rsid w:val="00727EBB"/>
    <w:rsid w:val="0073569F"/>
    <w:rsid w:val="007400D2"/>
    <w:rsid w:val="0074206D"/>
    <w:rsid w:val="007437EF"/>
    <w:rsid w:val="00745BAA"/>
    <w:rsid w:val="007473B1"/>
    <w:rsid w:val="00751A75"/>
    <w:rsid w:val="00752B4C"/>
    <w:rsid w:val="00753BDA"/>
    <w:rsid w:val="00754895"/>
    <w:rsid w:val="0075520E"/>
    <w:rsid w:val="00755A26"/>
    <w:rsid w:val="007575C4"/>
    <w:rsid w:val="007576A7"/>
    <w:rsid w:val="0075793D"/>
    <w:rsid w:val="007638F1"/>
    <w:rsid w:val="0076422E"/>
    <w:rsid w:val="00764527"/>
    <w:rsid w:val="00764736"/>
    <w:rsid w:val="00765E75"/>
    <w:rsid w:val="00766B11"/>
    <w:rsid w:val="00770423"/>
    <w:rsid w:val="007709DA"/>
    <w:rsid w:val="00771384"/>
    <w:rsid w:val="0077222A"/>
    <w:rsid w:val="00775C70"/>
    <w:rsid w:val="0077776C"/>
    <w:rsid w:val="0078647F"/>
    <w:rsid w:val="007907C5"/>
    <w:rsid w:val="0079344C"/>
    <w:rsid w:val="007969D1"/>
    <w:rsid w:val="007A0759"/>
    <w:rsid w:val="007A2FAE"/>
    <w:rsid w:val="007A776B"/>
    <w:rsid w:val="007A79CB"/>
    <w:rsid w:val="007B15A4"/>
    <w:rsid w:val="007B4D6E"/>
    <w:rsid w:val="007B545F"/>
    <w:rsid w:val="007C1E1D"/>
    <w:rsid w:val="007C2B83"/>
    <w:rsid w:val="007C2E21"/>
    <w:rsid w:val="007C4956"/>
    <w:rsid w:val="007C5A7F"/>
    <w:rsid w:val="007D1C6F"/>
    <w:rsid w:val="007D3381"/>
    <w:rsid w:val="007D7E98"/>
    <w:rsid w:val="007F10C1"/>
    <w:rsid w:val="007F325F"/>
    <w:rsid w:val="007F3AD9"/>
    <w:rsid w:val="007F3DBD"/>
    <w:rsid w:val="007F7AB1"/>
    <w:rsid w:val="008024E2"/>
    <w:rsid w:val="00802ED4"/>
    <w:rsid w:val="00806D33"/>
    <w:rsid w:val="00807B4F"/>
    <w:rsid w:val="00810255"/>
    <w:rsid w:val="008118E3"/>
    <w:rsid w:val="00811909"/>
    <w:rsid w:val="00811E85"/>
    <w:rsid w:val="00812D7F"/>
    <w:rsid w:val="008130ED"/>
    <w:rsid w:val="00813576"/>
    <w:rsid w:val="00814598"/>
    <w:rsid w:val="008159C0"/>
    <w:rsid w:val="00815CFA"/>
    <w:rsid w:val="0081626B"/>
    <w:rsid w:val="00817655"/>
    <w:rsid w:val="00821560"/>
    <w:rsid w:val="0082191E"/>
    <w:rsid w:val="00824150"/>
    <w:rsid w:val="00824376"/>
    <w:rsid w:val="00827D6C"/>
    <w:rsid w:val="00831546"/>
    <w:rsid w:val="00832D41"/>
    <w:rsid w:val="008336DA"/>
    <w:rsid w:val="00834120"/>
    <w:rsid w:val="00835A8B"/>
    <w:rsid w:val="008444BA"/>
    <w:rsid w:val="00854508"/>
    <w:rsid w:val="00854DCC"/>
    <w:rsid w:val="00855D94"/>
    <w:rsid w:val="00856833"/>
    <w:rsid w:val="00857512"/>
    <w:rsid w:val="00862B22"/>
    <w:rsid w:val="008654CF"/>
    <w:rsid w:val="008657F5"/>
    <w:rsid w:val="00865994"/>
    <w:rsid w:val="008659B9"/>
    <w:rsid w:val="00873400"/>
    <w:rsid w:val="00880B6C"/>
    <w:rsid w:val="008848D9"/>
    <w:rsid w:val="008850DE"/>
    <w:rsid w:val="0088552E"/>
    <w:rsid w:val="0088667E"/>
    <w:rsid w:val="00887A87"/>
    <w:rsid w:val="0089299C"/>
    <w:rsid w:val="00892BD0"/>
    <w:rsid w:val="00892BEB"/>
    <w:rsid w:val="00893BBA"/>
    <w:rsid w:val="008957E1"/>
    <w:rsid w:val="008A100E"/>
    <w:rsid w:val="008A1AC2"/>
    <w:rsid w:val="008A5DC9"/>
    <w:rsid w:val="008B1FF2"/>
    <w:rsid w:val="008B500A"/>
    <w:rsid w:val="008B7504"/>
    <w:rsid w:val="008C443E"/>
    <w:rsid w:val="008C4BC6"/>
    <w:rsid w:val="008C5A60"/>
    <w:rsid w:val="008C6BF4"/>
    <w:rsid w:val="008D633E"/>
    <w:rsid w:val="008E429D"/>
    <w:rsid w:val="008E492E"/>
    <w:rsid w:val="008F0A5A"/>
    <w:rsid w:val="008F47E5"/>
    <w:rsid w:val="008F6E25"/>
    <w:rsid w:val="008F7DD9"/>
    <w:rsid w:val="009001C4"/>
    <w:rsid w:val="009005CE"/>
    <w:rsid w:val="009032CF"/>
    <w:rsid w:val="00906217"/>
    <w:rsid w:val="00913E1C"/>
    <w:rsid w:val="00915C1F"/>
    <w:rsid w:val="00916FA4"/>
    <w:rsid w:val="0092023A"/>
    <w:rsid w:val="00921985"/>
    <w:rsid w:val="00924253"/>
    <w:rsid w:val="009257BD"/>
    <w:rsid w:val="00934119"/>
    <w:rsid w:val="00935833"/>
    <w:rsid w:val="00935946"/>
    <w:rsid w:val="00940691"/>
    <w:rsid w:val="0094413A"/>
    <w:rsid w:val="00945E10"/>
    <w:rsid w:val="009477EF"/>
    <w:rsid w:val="00950F0D"/>
    <w:rsid w:val="00951C6C"/>
    <w:rsid w:val="009552CB"/>
    <w:rsid w:val="00956929"/>
    <w:rsid w:val="00961E57"/>
    <w:rsid w:val="00961FED"/>
    <w:rsid w:val="0096460F"/>
    <w:rsid w:val="00967BF5"/>
    <w:rsid w:val="009713DD"/>
    <w:rsid w:val="00972E88"/>
    <w:rsid w:val="00973552"/>
    <w:rsid w:val="009743C3"/>
    <w:rsid w:val="00974BA2"/>
    <w:rsid w:val="0098101D"/>
    <w:rsid w:val="00981453"/>
    <w:rsid w:val="00982B11"/>
    <w:rsid w:val="0099039B"/>
    <w:rsid w:val="00996A60"/>
    <w:rsid w:val="009A190D"/>
    <w:rsid w:val="009A45E0"/>
    <w:rsid w:val="009A5C93"/>
    <w:rsid w:val="009A5F2C"/>
    <w:rsid w:val="009A75F2"/>
    <w:rsid w:val="009B1903"/>
    <w:rsid w:val="009B21A5"/>
    <w:rsid w:val="009B29BC"/>
    <w:rsid w:val="009B3056"/>
    <w:rsid w:val="009B58F2"/>
    <w:rsid w:val="009B5E0F"/>
    <w:rsid w:val="009C03BB"/>
    <w:rsid w:val="009D0DDB"/>
    <w:rsid w:val="009D1C24"/>
    <w:rsid w:val="009D2541"/>
    <w:rsid w:val="009D2749"/>
    <w:rsid w:val="009D543D"/>
    <w:rsid w:val="009D6D72"/>
    <w:rsid w:val="009E0FDB"/>
    <w:rsid w:val="009E191F"/>
    <w:rsid w:val="009E4BFD"/>
    <w:rsid w:val="009E5CE8"/>
    <w:rsid w:val="009F0D72"/>
    <w:rsid w:val="009F20E9"/>
    <w:rsid w:val="009F2F51"/>
    <w:rsid w:val="009F318C"/>
    <w:rsid w:val="009F3C32"/>
    <w:rsid w:val="009F5534"/>
    <w:rsid w:val="009F7559"/>
    <w:rsid w:val="00A003D9"/>
    <w:rsid w:val="00A00793"/>
    <w:rsid w:val="00A021E2"/>
    <w:rsid w:val="00A0558E"/>
    <w:rsid w:val="00A10A13"/>
    <w:rsid w:val="00A1331F"/>
    <w:rsid w:val="00A13AE8"/>
    <w:rsid w:val="00A14FD5"/>
    <w:rsid w:val="00A20210"/>
    <w:rsid w:val="00A24B1C"/>
    <w:rsid w:val="00A2583A"/>
    <w:rsid w:val="00A301ED"/>
    <w:rsid w:val="00A31010"/>
    <w:rsid w:val="00A313B8"/>
    <w:rsid w:val="00A3518F"/>
    <w:rsid w:val="00A3599B"/>
    <w:rsid w:val="00A40982"/>
    <w:rsid w:val="00A41D45"/>
    <w:rsid w:val="00A42633"/>
    <w:rsid w:val="00A42C9E"/>
    <w:rsid w:val="00A45EEC"/>
    <w:rsid w:val="00A47163"/>
    <w:rsid w:val="00A503A8"/>
    <w:rsid w:val="00A52945"/>
    <w:rsid w:val="00A53C78"/>
    <w:rsid w:val="00A575FB"/>
    <w:rsid w:val="00A57EF6"/>
    <w:rsid w:val="00A57F0A"/>
    <w:rsid w:val="00A617BA"/>
    <w:rsid w:val="00A61AB1"/>
    <w:rsid w:val="00A644E2"/>
    <w:rsid w:val="00A6693C"/>
    <w:rsid w:val="00A67E4A"/>
    <w:rsid w:val="00A71F1D"/>
    <w:rsid w:val="00A72F49"/>
    <w:rsid w:val="00A7428F"/>
    <w:rsid w:val="00A7555F"/>
    <w:rsid w:val="00A8343B"/>
    <w:rsid w:val="00A85AAF"/>
    <w:rsid w:val="00A87A1F"/>
    <w:rsid w:val="00A92508"/>
    <w:rsid w:val="00A9501F"/>
    <w:rsid w:val="00A96B40"/>
    <w:rsid w:val="00A97561"/>
    <w:rsid w:val="00AA265B"/>
    <w:rsid w:val="00AA5EFC"/>
    <w:rsid w:val="00AA7452"/>
    <w:rsid w:val="00AB2956"/>
    <w:rsid w:val="00AB2FE7"/>
    <w:rsid w:val="00AB55DC"/>
    <w:rsid w:val="00AC05E8"/>
    <w:rsid w:val="00AC08FD"/>
    <w:rsid w:val="00AC247E"/>
    <w:rsid w:val="00AC42DE"/>
    <w:rsid w:val="00AC4FE5"/>
    <w:rsid w:val="00AD0D88"/>
    <w:rsid w:val="00AD31A9"/>
    <w:rsid w:val="00AD485B"/>
    <w:rsid w:val="00AD6887"/>
    <w:rsid w:val="00AE574A"/>
    <w:rsid w:val="00AF4539"/>
    <w:rsid w:val="00AF6EFE"/>
    <w:rsid w:val="00AF76A3"/>
    <w:rsid w:val="00AF7904"/>
    <w:rsid w:val="00B03166"/>
    <w:rsid w:val="00B03512"/>
    <w:rsid w:val="00B04CF8"/>
    <w:rsid w:val="00B05C8A"/>
    <w:rsid w:val="00B072F4"/>
    <w:rsid w:val="00B07EF8"/>
    <w:rsid w:val="00B17957"/>
    <w:rsid w:val="00B228E3"/>
    <w:rsid w:val="00B23600"/>
    <w:rsid w:val="00B25AF4"/>
    <w:rsid w:val="00B324A2"/>
    <w:rsid w:val="00B36B8B"/>
    <w:rsid w:val="00B430E9"/>
    <w:rsid w:val="00B47B5B"/>
    <w:rsid w:val="00B5067A"/>
    <w:rsid w:val="00B509B3"/>
    <w:rsid w:val="00B55713"/>
    <w:rsid w:val="00B65251"/>
    <w:rsid w:val="00B67630"/>
    <w:rsid w:val="00B73509"/>
    <w:rsid w:val="00B739AB"/>
    <w:rsid w:val="00B80424"/>
    <w:rsid w:val="00B806D4"/>
    <w:rsid w:val="00B8368B"/>
    <w:rsid w:val="00B83CA7"/>
    <w:rsid w:val="00B87D13"/>
    <w:rsid w:val="00B937F3"/>
    <w:rsid w:val="00B94CE4"/>
    <w:rsid w:val="00B95BFA"/>
    <w:rsid w:val="00B9659E"/>
    <w:rsid w:val="00BA1C93"/>
    <w:rsid w:val="00BA6970"/>
    <w:rsid w:val="00BB1602"/>
    <w:rsid w:val="00BB24F8"/>
    <w:rsid w:val="00BB4B1C"/>
    <w:rsid w:val="00BB5697"/>
    <w:rsid w:val="00BB6DE5"/>
    <w:rsid w:val="00BC2F75"/>
    <w:rsid w:val="00BD57D8"/>
    <w:rsid w:val="00BD7935"/>
    <w:rsid w:val="00BD7995"/>
    <w:rsid w:val="00BE1B77"/>
    <w:rsid w:val="00BE5B51"/>
    <w:rsid w:val="00BF1D88"/>
    <w:rsid w:val="00BF2F97"/>
    <w:rsid w:val="00BF3AAA"/>
    <w:rsid w:val="00BF55DE"/>
    <w:rsid w:val="00BF6AAB"/>
    <w:rsid w:val="00BF7574"/>
    <w:rsid w:val="00BF7F00"/>
    <w:rsid w:val="00C05719"/>
    <w:rsid w:val="00C0584B"/>
    <w:rsid w:val="00C06E14"/>
    <w:rsid w:val="00C100E8"/>
    <w:rsid w:val="00C11178"/>
    <w:rsid w:val="00C1244B"/>
    <w:rsid w:val="00C12961"/>
    <w:rsid w:val="00C12BDB"/>
    <w:rsid w:val="00C13193"/>
    <w:rsid w:val="00C133F8"/>
    <w:rsid w:val="00C172D0"/>
    <w:rsid w:val="00C21C8C"/>
    <w:rsid w:val="00C22401"/>
    <w:rsid w:val="00C26DB0"/>
    <w:rsid w:val="00C3128F"/>
    <w:rsid w:val="00C35CC2"/>
    <w:rsid w:val="00C36FEE"/>
    <w:rsid w:val="00C378EB"/>
    <w:rsid w:val="00C41242"/>
    <w:rsid w:val="00C425A5"/>
    <w:rsid w:val="00C43540"/>
    <w:rsid w:val="00C43793"/>
    <w:rsid w:val="00C45365"/>
    <w:rsid w:val="00C4697F"/>
    <w:rsid w:val="00C52BA2"/>
    <w:rsid w:val="00C52ED5"/>
    <w:rsid w:val="00C5583A"/>
    <w:rsid w:val="00C622D8"/>
    <w:rsid w:val="00C62A13"/>
    <w:rsid w:val="00C650A9"/>
    <w:rsid w:val="00C6665B"/>
    <w:rsid w:val="00C707A2"/>
    <w:rsid w:val="00C7751A"/>
    <w:rsid w:val="00C77F70"/>
    <w:rsid w:val="00C81DFB"/>
    <w:rsid w:val="00C81FF0"/>
    <w:rsid w:val="00C85DAB"/>
    <w:rsid w:val="00C8704E"/>
    <w:rsid w:val="00C87C98"/>
    <w:rsid w:val="00C92BA0"/>
    <w:rsid w:val="00CA1C08"/>
    <w:rsid w:val="00CA27DF"/>
    <w:rsid w:val="00CA286A"/>
    <w:rsid w:val="00CB273C"/>
    <w:rsid w:val="00CB313A"/>
    <w:rsid w:val="00CB62CE"/>
    <w:rsid w:val="00CB722C"/>
    <w:rsid w:val="00CC035D"/>
    <w:rsid w:val="00CC3222"/>
    <w:rsid w:val="00CC4EC2"/>
    <w:rsid w:val="00CC6B91"/>
    <w:rsid w:val="00CC78E4"/>
    <w:rsid w:val="00CD1673"/>
    <w:rsid w:val="00CD49C0"/>
    <w:rsid w:val="00CD4AA3"/>
    <w:rsid w:val="00CD57D1"/>
    <w:rsid w:val="00CD5AF8"/>
    <w:rsid w:val="00CD69B0"/>
    <w:rsid w:val="00CE180E"/>
    <w:rsid w:val="00CE399A"/>
    <w:rsid w:val="00CE43FE"/>
    <w:rsid w:val="00CF0445"/>
    <w:rsid w:val="00CF0CCF"/>
    <w:rsid w:val="00CF11AE"/>
    <w:rsid w:val="00CF4407"/>
    <w:rsid w:val="00CF46E5"/>
    <w:rsid w:val="00CF5882"/>
    <w:rsid w:val="00D02BFB"/>
    <w:rsid w:val="00D051CB"/>
    <w:rsid w:val="00D0565A"/>
    <w:rsid w:val="00D0681D"/>
    <w:rsid w:val="00D106D9"/>
    <w:rsid w:val="00D12F0A"/>
    <w:rsid w:val="00D1359F"/>
    <w:rsid w:val="00D1385A"/>
    <w:rsid w:val="00D164B2"/>
    <w:rsid w:val="00D20243"/>
    <w:rsid w:val="00D2068A"/>
    <w:rsid w:val="00D20764"/>
    <w:rsid w:val="00D23AED"/>
    <w:rsid w:val="00D23EAF"/>
    <w:rsid w:val="00D264F9"/>
    <w:rsid w:val="00D30705"/>
    <w:rsid w:val="00D31391"/>
    <w:rsid w:val="00D330C7"/>
    <w:rsid w:val="00D33A4F"/>
    <w:rsid w:val="00D35768"/>
    <w:rsid w:val="00D36486"/>
    <w:rsid w:val="00D373C2"/>
    <w:rsid w:val="00D37B21"/>
    <w:rsid w:val="00D41F40"/>
    <w:rsid w:val="00D42B68"/>
    <w:rsid w:val="00D43A01"/>
    <w:rsid w:val="00D44717"/>
    <w:rsid w:val="00D44EBB"/>
    <w:rsid w:val="00D453D9"/>
    <w:rsid w:val="00D521B8"/>
    <w:rsid w:val="00D52319"/>
    <w:rsid w:val="00D54DD4"/>
    <w:rsid w:val="00D56AD6"/>
    <w:rsid w:val="00D6299F"/>
    <w:rsid w:val="00D632CF"/>
    <w:rsid w:val="00D63875"/>
    <w:rsid w:val="00D70350"/>
    <w:rsid w:val="00D70ACA"/>
    <w:rsid w:val="00D713BF"/>
    <w:rsid w:val="00D73BE2"/>
    <w:rsid w:val="00D77034"/>
    <w:rsid w:val="00D82DA8"/>
    <w:rsid w:val="00D85587"/>
    <w:rsid w:val="00D875C3"/>
    <w:rsid w:val="00D90C85"/>
    <w:rsid w:val="00D92680"/>
    <w:rsid w:val="00D94AE4"/>
    <w:rsid w:val="00DA2AF3"/>
    <w:rsid w:val="00DA332B"/>
    <w:rsid w:val="00DA465A"/>
    <w:rsid w:val="00DA6DF6"/>
    <w:rsid w:val="00DA6F60"/>
    <w:rsid w:val="00DA72FD"/>
    <w:rsid w:val="00DB1BC1"/>
    <w:rsid w:val="00DB2AA0"/>
    <w:rsid w:val="00DB4100"/>
    <w:rsid w:val="00DB57BD"/>
    <w:rsid w:val="00DB644A"/>
    <w:rsid w:val="00DB6B70"/>
    <w:rsid w:val="00DC1C30"/>
    <w:rsid w:val="00DD12D7"/>
    <w:rsid w:val="00DD17AB"/>
    <w:rsid w:val="00DD1F9C"/>
    <w:rsid w:val="00DD2FFC"/>
    <w:rsid w:val="00DD6426"/>
    <w:rsid w:val="00DE2E03"/>
    <w:rsid w:val="00DE332F"/>
    <w:rsid w:val="00DE45A5"/>
    <w:rsid w:val="00DE528E"/>
    <w:rsid w:val="00DE5706"/>
    <w:rsid w:val="00DE69C9"/>
    <w:rsid w:val="00DE6D57"/>
    <w:rsid w:val="00DE7AEF"/>
    <w:rsid w:val="00DF0D89"/>
    <w:rsid w:val="00DF1A0D"/>
    <w:rsid w:val="00DF2A78"/>
    <w:rsid w:val="00DF3D74"/>
    <w:rsid w:val="00E032FF"/>
    <w:rsid w:val="00E05281"/>
    <w:rsid w:val="00E06DCB"/>
    <w:rsid w:val="00E1037B"/>
    <w:rsid w:val="00E13575"/>
    <w:rsid w:val="00E137C9"/>
    <w:rsid w:val="00E13927"/>
    <w:rsid w:val="00E13B07"/>
    <w:rsid w:val="00E14BFF"/>
    <w:rsid w:val="00E2037E"/>
    <w:rsid w:val="00E20E80"/>
    <w:rsid w:val="00E22643"/>
    <w:rsid w:val="00E234F0"/>
    <w:rsid w:val="00E24125"/>
    <w:rsid w:val="00E2547C"/>
    <w:rsid w:val="00E262C7"/>
    <w:rsid w:val="00E30E21"/>
    <w:rsid w:val="00E356C5"/>
    <w:rsid w:val="00E358F6"/>
    <w:rsid w:val="00E360C9"/>
    <w:rsid w:val="00E3613F"/>
    <w:rsid w:val="00E36D49"/>
    <w:rsid w:val="00E40E02"/>
    <w:rsid w:val="00E45140"/>
    <w:rsid w:val="00E475A9"/>
    <w:rsid w:val="00E517E5"/>
    <w:rsid w:val="00E54B71"/>
    <w:rsid w:val="00E57635"/>
    <w:rsid w:val="00E623F3"/>
    <w:rsid w:val="00E633FA"/>
    <w:rsid w:val="00E67E35"/>
    <w:rsid w:val="00E71C1D"/>
    <w:rsid w:val="00E73D47"/>
    <w:rsid w:val="00E756FA"/>
    <w:rsid w:val="00E82BF4"/>
    <w:rsid w:val="00E85736"/>
    <w:rsid w:val="00E91001"/>
    <w:rsid w:val="00E91EF0"/>
    <w:rsid w:val="00E931E5"/>
    <w:rsid w:val="00E93CDB"/>
    <w:rsid w:val="00E94B2A"/>
    <w:rsid w:val="00E96A35"/>
    <w:rsid w:val="00E96D47"/>
    <w:rsid w:val="00E970EF"/>
    <w:rsid w:val="00EA1706"/>
    <w:rsid w:val="00EA5CE7"/>
    <w:rsid w:val="00EA649E"/>
    <w:rsid w:val="00EB02EC"/>
    <w:rsid w:val="00EB5491"/>
    <w:rsid w:val="00EB74A2"/>
    <w:rsid w:val="00EB7FDE"/>
    <w:rsid w:val="00EC3A29"/>
    <w:rsid w:val="00EC4C91"/>
    <w:rsid w:val="00EC5E7B"/>
    <w:rsid w:val="00EC6CA2"/>
    <w:rsid w:val="00ED1659"/>
    <w:rsid w:val="00ED2AD5"/>
    <w:rsid w:val="00ED6981"/>
    <w:rsid w:val="00EE2675"/>
    <w:rsid w:val="00EE456A"/>
    <w:rsid w:val="00EF2CB1"/>
    <w:rsid w:val="00EF3D72"/>
    <w:rsid w:val="00EF4661"/>
    <w:rsid w:val="00EF5CE3"/>
    <w:rsid w:val="00F01B1A"/>
    <w:rsid w:val="00F01FBF"/>
    <w:rsid w:val="00F026F5"/>
    <w:rsid w:val="00F0287D"/>
    <w:rsid w:val="00F03617"/>
    <w:rsid w:val="00F07E0F"/>
    <w:rsid w:val="00F07FAF"/>
    <w:rsid w:val="00F14639"/>
    <w:rsid w:val="00F20194"/>
    <w:rsid w:val="00F21303"/>
    <w:rsid w:val="00F23ABA"/>
    <w:rsid w:val="00F24C04"/>
    <w:rsid w:val="00F307CA"/>
    <w:rsid w:val="00F31161"/>
    <w:rsid w:val="00F40AC7"/>
    <w:rsid w:val="00F4227E"/>
    <w:rsid w:val="00F42FF0"/>
    <w:rsid w:val="00F459A6"/>
    <w:rsid w:val="00F51F42"/>
    <w:rsid w:val="00F527C4"/>
    <w:rsid w:val="00F569AD"/>
    <w:rsid w:val="00F61208"/>
    <w:rsid w:val="00F6144D"/>
    <w:rsid w:val="00F66F10"/>
    <w:rsid w:val="00F6751B"/>
    <w:rsid w:val="00F71B81"/>
    <w:rsid w:val="00F7205E"/>
    <w:rsid w:val="00F72F5F"/>
    <w:rsid w:val="00F73C7D"/>
    <w:rsid w:val="00F75A39"/>
    <w:rsid w:val="00F7691D"/>
    <w:rsid w:val="00F76BEE"/>
    <w:rsid w:val="00F76C6F"/>
    <w:rsid w:val="00F76D35"/>
    <w:rsid w:val="00F77E9B"/>
    <w:rsid w:val="00F87DD4"/>
    <w:rsid w:val="00F971AE"/>
    <w:rsid w:val="00FA139C"/>
    <w:rsid w:val="00FA26E4"/>
    <w:rsid w:val="00FA2AF2"/>
    <w:rsid w:val="00FA36B9"/>
    <w:rsid w:val="00FA7B12"/>
    <w:rsid w:val="00FB1639"/>
    <w:rsid w:val="00FB18D0"/>
    <w:rsid w:val="00FB4BDC"/>
    <w:rsid w:val="00FC085A"/>
    <w:rsid w:val="00FC5417"/>
    <w:rsid w:val="00FC5AD8"/>
    <w:rsid w:val="00FC659B"/>
    <w:rsid w:val="00FC70AE"/>
    <w:rsid w:val="00FD0B56"/>
    <w:rsid w:val="00FD1364"/>
    <w:rsid w:val="00FD253D"/>
    <w:rsid w:val="00FD25A5"/>
    <w:rsid w:val="00FD594B"/>
    <w:rsid w:val="00FD7750"/>
    <w:rsid w:val="00FE5E3E"/>
    <w:rsid w:val="00FE63DE"/>
    <w:rsid w:val="00FE6AA7"/>
    <w:rsid w:val="00FF2D31"/>
    <w:rsid w:val="00FF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Body Text 2" w:uiPriority="99"/>
    <w:lsdException w:name="Body Text Indent 2" w:uiPriority="99"/>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A29"/>
    <w:rPr>
      <w:sz w:val="28"/>
      <w:szCs w:val="24"/>
    </w:rPr>
  </w:style>
  <w:style w:type="paragraph" w:styleId="1">
    <w:name w:val="heading 1"/>
    <w:basedOn w:val="a"/>
    <w:next w:val="a"/>
    <w:link w:val="10"/>
    <w:uiPriority w:val="99"/>
    <w:qFormat/>
    <w:rsid w:val="00EC3A29"/>
    <w:pPr>
      <w:keepNext/>
      <w:jc w:val="center"/>
      <w:outlineLvl w:val="0"/>
    </w:pPr>
    <w:rPr>
      <w:b/>
      <w:szCs w:val="20"/>
    </w:rPr>
  </w:style>
  <w:style w:type="paragraph" w:styleId="2">
    <w:name w:val="heading 2"/>
    <w:basedOn w:val="a"/>
    <w:next w:val="a"/>
    <w:qFormat/>
    <w:rsid w:val="00EC3A29"/>
    <w:pPr>
      <w:keepNext/>
      <w:jc w:val="both"/>
      <w:outlineLvl w:val="1"/>
    </w:pPr>
    <w:rPr>
      <w:sz w:val="24"/>
      <w:szCs w:val="20"/>
    </w:rPr>
  </w:style>
  <w:style w:type="paragraph" w:styleId="3">
    <w:name w:val="heading 3"/>
    <w:basedOn w:val="a"/>
    <w:next w:val="a"/>
    <w:link w:val="30"/>
    <w:uiPriority w:val="99"/>
    <w:qFormat/>
    <w:rsid w:val="00EC3A29"/>
    <w:pPr>
      <w:keepNext/>
      <w:jc w:val="center"/>
      <w:outlineLvl w:val="2"/>
    </w:pPr>
    <w:rPr>
      <w:b/>
      <w:sz w:val="48"/>
      <w:szCs w:val="20"/>
    </w:rPr>
  </w:style>
  <w:style w:type="paragraph" w:styleId="4">
    <w:name w:val="heading 4"/>
    <w:basedOn w:val="a"/>
    <w:next w:val="a"/>
    <w:link w:val="40"/>
    <w:uiPriority w:val="99"/>
    <w:qFormat/>
    <w:rsid w:val="00EC3A29"/>
    <w:pPr>
      <w:keepNext/>
      <w:outlineLvl w:val="3"/>
    </w:pPr>
    <w:rPr>
      <w:b/>
      <w:bCs/>
    </w:rPr>
  </w:style>
  <w:style w:type="paragraph" w:styleId="5">
    <w:name w:val="heading 5"/>
    <w:basedOn w:val="a"/>
    <w:next w:val="a"/>
    <w:link w:val="50"/>
    <w:qFormat/>
    <w:rsid w:val="00063374"/>
    <w:pPr>
      <w:spacing w:before="240" w:after="60"/>
      <w:outlineLvl w:val="4"/>
    </w:pPr>
    <w:rPr>
      <w:b/>
      <w:bCs/>
      <w:i/>
      <w:iCs/>
      <w:sz w:val="26"/>
      <w:szCs w:val="26"/>
    </w:rPr>
  </w:style>
  <w:style w:type="paragraph" w:styleId="6">
    <w:name w:val="heading 6"/>
    <w:basedOn w:val="a"/>
    <w:next w:val="a"/>
    <w:link w:val="60"/>
    <w:uiPriority w:val="99"/>
    <w:qFormat/>
    <w:rsid w:val="00EC3A29"/>
    <w:pPr>
      <w:keepNext/>
      <w:jc w:val="both"/>
      <w:outlineLvl w:val="5"/>
    </w:pPr>
    <w:rPr>
      <w:b/>
      <w:sz w:val="24"/>
      <w:szCs w:val="20"/>
    </w:rPr>
  </w:style>
  <w:style w:type="paragraph" w:styleId="7">
    <w:name w:val="heading 7"/>
    <w:basedOn w:val="a"/>
    <w:next w:val="a"/>
    <w:link w:val="70"/>
    <w:qFormat/>
    <w:rsid w:val="00275BAE"/>
    <w:pPr>
      <w:keepNext/>
      <w:spacing w:before="120" w:line="240" w:lineRule="exact"/>
      <w:outlineLvl w:val="6"/>
    </w:pPr>
    <w:rPr>
      <w:b/>
      <w:snapToGrid w:val="0"/>
      <w:color w:val="000000"/>
    </w:rPr>
  </w:style>
  <w:style w:type="paragraph" w:styleId="8">
    <w:name w:val="heading 8"/>
    <w:basedOn w:val="a"/>
    <w:next w:val="a"/>
    <w:qFormat/>
    <w:rsid w:val="00EC3A29"/>
    <w:pPr>
      <w:keepNext/>
      <w:outlineLvl w:val="7"/>
    </w:pPr>
    <w:rPr>
      <w:sz w:val="24"/>
      <w:szCs w:val="20"/>
    </w:rPr>
  </w:style>
  <w:style w:type="paragraph" w:styleId="9">
    <w:name w:val="heading 9"/>
    <w:basedOn w:val="a"/>
    <w:next w:val="a"/>
    <w:qFormat/>
    <w:rsid w:val="00EC3A29"/>
    <w:pPr>
      <w:keepNext/>
      <w:outlineLvl w:val="8"/>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5BA0"/>
    <w:rPr>
      <w:b/>
      <w:sz w:val="28"/>
    </w:rPr>
  </w:style>
  <w:style w:type="character" w:customStyle="1" w:styleId="30">
    <w:name w:val="Заголовок 3 Знак"/>
    <w:basedOn w:val="a0"/>
    <w:link w:val="3"/>
    <w:uiPriority w:val="99"/>
    <w:locked/>
    <w:rsid w:val="00815CFA"/>
    <w:rPr>
      <w:b/>
      <w:sz w:val="48"/>
    </w:rPr>
  </w:style>
  <w:style w:type="character" w:customStyle="1" w:styleId="40">
    <w:name w:val="Заголовок 4 Знак"/>
    <w:basedOn w:val="a0"/>
    <w:link w:val="4"/>
    <w:uiPriority w:val="99"/>
    <w:locked/>
    <w:rsid w:val="00815CFA"/>
    <w:rPr>
      <w:b/>
      <w:bCs/>
      <w:sz w:val="28"/>
      <w:szCs w:val="24"/>
    </w:rPr>
  </w:style>
  <w:style w:type="character" w:customStyle="1" w:styleId="50">
    <w:name w:val="Заголовок 5 Знак"/>
    <w:basedOn w:val="a0"/>
    <w:link w:val="5"/>
    <w:rsid w:val="00063374"/>
    <w:rPr>
      <w:b/>
      <w:bCs/>
      <w:i/>
      <w:iCs/>
      <w:sz w:val="26"/>
      <w:szCs w:val="26"/>
    </w:rPr>
  </w:style>
  <w:style w:type="character" w:customStyle="1" w:styleId="60">
    <w:name w:val="Заголовок 6 Знак"/>
    <w:basedOn w:val="a0"/>
    <w:link w:val="6"/>
    <w:uiPriority w:val="99"/>
    <w:locked/>
    <w:rsid w:val="00967BF5"/>
    <w:rPr>
      <w:b/>
      <w:sz w:val="24"/>
    </w:rPr>
  </w:style>
  <w:style w:type="character" w:customStyle="1" w:styleId="70">
    <w:name w:val="Заголовок 7 Знак"/>
    <w:basedOn w:val="a0"/>
    <w:link w:val="7"/>
    <w:rsid w:val="00275BAE"/>
    <w:rPr>
      <w:b/>
      <w:snapToGrid w:val="0"/>
      <w:color w:val="000000"/>
      <w:sz w:val="28"/>
      <w:szCs w:val="24"/>
    </w:rPr>
  </w:style>
  <w:style w:type="paragraph" w:styleId="a3">
    <w:name w:val="Body Text"/>
    <w:aliases w:val="Основной текст Знак Знак Знак Знак"/>
    <w:basedOn w:val="a"/>
    <w:link w:val="a4"/>
    <w:rsid w:val="00EC3A29"/>
    <w:pPr>
      <w:jc w:val="both"/>
    </w:pPr>
  </w:style>
  <w:style w:type="character" w:customStyle="1" w:styleId="a4">
    <w:name w:val="Основной текст Знак"/>
    <w:aliases w:val="Основной текст Знак Знак Знак Знак Знак"/>
    <w:basedOn w:val="a0"/>
    <w:link w:val="a3"/>
    <w:rsid w:val="00B07EF8"/>
    <w:rPr>
      <w:sz w:val="28"/>
      <w:szCs w:val="24"/>
    </w:rPr>
  </w:style>
  <w:style w:type="paragraph" w:styleId="a5">
    <w:name w:val="header"/>
    <w:basedOn w:val="a"/>
    <w:link w:val="a6"/>
    <w:rsid w:val="00EC3A29"/>
    <w:pPr>
      <w:tabs>
        <w:tab w:val="center" w:pos="4153"/>
        <w:tab w:val="right" w:pos="8306"/>
      </w:tabs>
    </w:pPr>
  </w:style>
  <w:style w:type="character" w:customStyle="1" w:styleId="a6">
    <w:name w:val="Верхний колонтитул Знак"/>
    <w:basedOn w:val="a0"/>
    <w:link w:val="a5"/>
    <w:rsid w:val="00F01B1A"/>
    <w:rPr>
      <w:sz w:val="28"/>
      <w:szCs w:val="24"/>
    </w:rPr>
  </w:style>
  <w:style w:type="character" w:styleId="a7">
    <w:name w:val="page number"/>
    <w:basedOn w:val="a0"/>
    <w:rsid w:val="00EC3A29"/>
  </w:style>
  <w:style w:type="paragraph" w:styleId="20">
    <w:name w:val="Body Text 2"/>
    <w:basedOn w:val="a"/>
    <w:link w:val="21"/>
    <w:uiPriority w:val="99"/>
    <w:rsid w:val="00EC3A29"/>
    <w:rPr>
      <w:sz w:val="24"/>
      <w:szCs w:val="20"/>
    </w:rPr>
  </w:style>
  <w:style w:type="character" w:customStyle="1" w:styleId="21">
    <w:name w:val="Основной текст 2 Знак"/>
    <w:basedOn w:val="a0"/>
    <w:link w:val="20"/>
    <w:uiPriority w:val="99"/>
    <w:locked/>
    <w:rsid w:val="00967BF5"/>
    <w:rPr>
      <w:sz w:val="24"/>
    </w:rPr>
  </w:style>
  <w:style w:type="paragraph" w:customStyle="1" w:styleId="ConsNormal">
    <w:name w:val="ConsNormal"/>
    <w:uiPriority w:val="99"/>
    <w:rsid w:val="00EC3A29"/>
    <w:pPr>
      <w:widowControl w:val="0"/>
      <w:autoSpaceDE w:val="0"/>
      <w:autoSpaceDN w:val="0"/>
      <w:adjustRightInd w:val="0"/>
      <w:ind w:right="19772" w:firstLine="720"/>
    </w:pPr>
    <w:rPr>
      <w:rFonts w:ascii="Arial" w:hAnsi="Arial" w:cs="Arial"/>
    </w:rPr>
  </w:style>
  <w:style w:type="paragraph" w:styleId="a8">
    <w:name w:val="footer"/>
    <w:basedOn w:val="a"/>
    <w:link w:val="a9"/>
    <w:rsid w:val="00EC3A29"/>
    <w:pPr>
      <w:tabs>
        <w:tab w:val="center" w:pos="4677"/>
        <w:tab w:val="right" w:pos="9355"/>
      </w:tabs>
    </w:pPr>
  </w:style>
  <w:style w:type="character" w:customStyle="1" w:styleId="a9">
    <w:name w:val="Нижний колонтитул Знак"/>
    <w:basedOn w:val="a0"/>
    <w:link w:val="a8"/>
    <w:locked/>
    <w:rsid w:val="00815CFA"/>
    <w:rPr>
      <w:sz w:val="28"/>
      <w:szCs w:val="24"/>
    </w:rPr>
  </w:style>
  <w:style w:type="paragraph" w:customStyle="1" w:styleId="ConsNonformat">
    <w:name w:val="ConsNonformat"/>
    <w:rsid w:val="00EC3A29"/>
    <w:pPr>
      <w:widowControl w:val="0"/>
      <w:autoSpaceDE w:val="0"/>
      <w:autoSpaceDN w:val="0"/>
      <w:adjustRightInd w:val="0"/>
      <w:ind w:right="19772"/>
    </w:pPr>
    <w:rPr>
      <w:rFonts w:ascii="Courier New" w:hAnsi="Courier New" w:cs="Courier New"/>
    </w:rPr>
  </w:style>
  <w:style w:type="table" w:styleId="aa">
    <w:name w:val="Table Grid"/>
    <w:basedOn w:val="a1"/>
    <w:rsid w:val="00BF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звание предприятия"/>
    <w:basedOn w:val="a"/>
    <w:rsid w:val="004A44C3"/>
    <w:pPr>
      <w:framePr w:w="3845" w:h="1584" w:hSpace="187" w:vSpace="187" w:wrap="notBeside" w:vAnchor="page" w:hAnchor="margin" w:y="894" w:anchorLock="1"/>
      <w:spacing w:line="280" w:lineRule="atLeast"/>
    </w:pPr>
    <w:rPr>
      <w:rFonts w:ascii="Arial Black" w:hAnsi="Arial Black"/>
      <w:spacing w:val="-25"/>
      <w:sz w:val="32"/>
      <w:szCs w:val="20"/>
    </w:rPr>
  </w:style>
  <w:style w:type="paragraph" w:customStyle="1" w:styleId="ConsPlusNormal">
    <w:name w:val="ConsPlusNormal"/>
    <w:link w:val="ConsPlusNormal0"/>
    <w:rsid w:val="004A44C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E5394"/>
    <w:rPr>
      <w:rFonts w:ascii="Arial" w:hAnsi="Arial" w:cs="Arial"/>
      <w:lang w:val="ru-RU" w:eastAsia="ru-RU" w:bidi="ar-SA"/>
    </w:rPr>
  </w:style>
  <w:style w:type="paragraph" w:customStyle="1" w:styleId="ac">
    <w:name w:val="Знак Знак Знак Знак Знак Знак"/>
    <w:basedOn w:val="a"/>
    <w:uiPriority w:val="99"/>
    <w:rsid w:val="004A44C3"/>
    <w:pPr>
      <w:spacing w:before="100" w:beforeAutospacing="1" w:after="100" w:afterAutospacing="1"/>
      <w:jc w:val="both"/>
    </w:pPr>
    <w:rPr>
      <w:rFonts w:ascii="Tahoma" w:hAnsi="Tahoma"/>
      <w:sz w:val="20"/>
      <w:szCs w:val="20"/>
      <w:lang w:val="en-US" w:eastAsia="en-US"/>
    </w:rPr>
  </w:style>
  <w:style w:type="paragraph" w:styleId="ad">
    <w:name w:val="Body Text Indent"/>
    <w:basedOn w:val="a"/>
    <w:link w:val="ae"/>
    <w:rsid w:val="004A44C3"/>
    <w:pPr>
      <w:spacing w:after="120"/>
      <w:ind w:left="283"/>
    </w:pPr>
  </w:style>
  <w:style w:type="character" w:customStyle="1" w:styleId="ae">
    <w:name w:val="Основной текст с отступом Знак"/>
    <w:basedOn w:val="a0"/>
    <w:link w:val="ad"/>
    <w:uiPriority w:val="99"/>
    <w:locked/>
    <w:rsid w:val="00815CFA"/>
    <w:rPr>
      <w:sz w:val="28"/>
      <w:szCs w:val="24"/>
    </w:rPr>
  </w:style>
  <w:style w:type="paragraph" w:customStyle="1" w:styleId="ConsPlusTitle">
    <w:name w:val="ConsPlusTitle"/>
    <w:link w:val="ConsPlusTitle0"/>
    <w:uiPriority w:val="99"/>
    <w:rsid w:val="00F51F42"/>
    <w:pPr>
      <w:widowControl w:val="0"/>
      <w:autoSpaceDE w:val="0"/>
      <w:autoSpaceDN w:val="0"/>
      <w:adjustRightInd w:val="0"/>
    </w:pPr>
    <w:rPr>
      <w:rFonts w:ascii="Arial" w:hAnsi="Arial" w:cs="Arial"/>
      <w:b/>
      <w:bCs/>
    </w:rPr>
  </w:style>
  <w:style w:type="character" w:customStyle="1" w:styleId="61">
    <w:name w:val=" Знак Знак6"/>
    <w:locked/>
    <w:rsid w:val="00062908"/>
    <w:rPr>
      <w:sz w:val="28"/>
      <w:szCs w:val="24"/>
      <w:lang w:val="ru-RU" w:eastAsia="ru-RU" w:bidi="ar-SA"/>
    </w:rPr>
  </w:style>
  <w:style w:type="paragraph" w:customStyle="1" w:styleId="western">
    <w:name w:val="western"/>
    <w:basedOn w:val="a"/>
    <w:uiPriority w:val="99"/>
    <w:rsid w:val="005E2403"/>
    <w:pPr>
      <w:spacing w:before="100" w:beforeAutospacing="1" w:after="115" w:line="276" w:lineRule="auto"/>
    </w:pPr>
    <w:rPr>
      <w:rFonts w:ascii="Arial" w:hAnsi="Arial" w:cs="Arial"/>
      <w:color w:val="000000"/>
      <w:sz w:val="22"/>
      <w:szCs w:val="22"/>
    </w:rPr>
  </w:style>
  <w:style w:type="paragraph" w:styleId="af">
    <w:name w:val="Normal (Web)"/>
    <w:basedOn w:val="a"/>
    <w:link w:val="af0"/>
    <w:uiPriority w:val="99"/>
    <w:rsid w:val="005E2403"/>
    <w:pPr>
      <w:spacing w:before="100" w:beforeAutospacing="1" w:after="100" w:afterAutospacing="1"/>
    </w:pPr>
    <w:rPr>
      <w:rFonts w:ascii="Calibri" w:hAnsi="Calibri"/>
      <w:sz w:val="24"/>
      <w:lang/>
    </w:rPr>
  </w:style>
  <w:style w:type="character" w:customStyle="1" w:styleId="af0">
    <w:name w:val="Обычный (веб) Знак"/>
    <w:link w:val="af"/>
    <w:uiPriority w:val="99"/>
    <w:locked/>
    <w:rsid w:val="00967BF5"/>
    <w:rPr>
      <w:rFonts w:ascii="Calibri" w:hAnsi="Calibri"/>
      <w:sz w:val="24"/>
      <w:szCs w:val="24"/>
    </w:rPr>
  </w:style>
  <w:style w:type="paragraph" w:styleId="af1">
    <w:name w:val="No Spacing"/>
    <w:link w:val="af2"/>
    <w:uiPriority w:val="99"/>
    <w:qFormat/>
    <w:rsid w:val="005E2403"/>
    <w:rPr>
      <w:rFonts w:ascii="Calibri" w:hAnsi="Calibri" w:cs="Calibri"/>
      <w:sz w:val="22"/>
      <w:szCs w:val="22"/>
    </w:rPr>
  </w:style>
  <w:style w:type="character" w:customStyle="1" w:styleId="af2">
    <w:name w:val="Без интервала Знак"/>
    <w:basedOn w:val="a0"/>
    <w:link w:val="af1"/>
    <w:uiPriority w:val="99"/>
    <w:rsid w:val="009A5C93"/>
    <w:rPr>
      <w:rFonts w:ascii="Calibri" w:hAnsi="Calibri" w:cs="Calibri"/>
      <w:sz w:val="22"/>
      <w:szCs w:val="22"/>
      <w:lang w:val="ru-RU" w:eastAsia="ru-RU" w:bidi="ar-SA"/>
    </w:rPr>
  </w:style>
  <w:style w:type="character" w:styleId="af3">
    <w:name w:val="Strong"/>
    <w:basedOn w:val="a0"/>
    <w:uiPriority w:val="99"/>
    <w:qFormat/>
    <w:rsid w:val="00967BF5"/>
    <w:rPr>
      <w:b/>
      <w:bCs/>
    </w:rPr>
  </w:style>
  <w:style w:type="character" w:styleId="af4">
    <w:name w:val="Hyperlink"/>
    <w:basedOn w:val="a0"/>
    <w:uiPriority w:val="99"/>
    <w:rsid w:val="00967BF5"/>
    <w:rPr>
      <w:color w:val="0000FF"/>
      <w:u w:val="single"/>
    </w:rPr>
  </w:style>
  <w:style w:type="paragraph" w:styleId="af5">
    <w:name w:val="Title"/>
    <w:aliases w:val="Знак Знак Знак,Знак Знак, Знак Знак Знак"/>
    <w:basedOn w:val="a"/>
    <w:link w:val="af6"/>
    <w:qFormat/>
    <w:rsid w:val="00967BF5"/>
    <w:pPr>
      <w:ind w:firstLine="708"/>
      <w:jc w:val="center"/>
    </w:pPr>
    <w:rPr>
      <w:sz w:val="32"/>
    </w:rPr>
  </w:style>
  <w:style w:type="character" w:customStyle="1" w:styleId="af6">
    <w:name w:val="Название Знак"/>
    <w:aliases w:val="Знак Знак Знак Знак,Знак Знак Знак1, Знак Знак Знак Знак"/>
    <w:basedOn w:val="a0"/>
    <w:link w:val="af5"/>
    <w:rsid w:val="00967BF5"/>
    <w:rPr>
      <w:sz w:val="32"/>
      <w:szCs w:val="24"/>
    </w:rPr>
  </w:style>
  <w:style w:type="paragraph" w:customStyle="1" w:styleId="af7">
    <w:name w:val="Акты"/>
    <w:basedOn w:val="a"/>
    <w:link w:val="af8"/>
    <w:uiPriority w:val="99"/>
    <w:rsid w:val="00967BF5"/>
    <w:pPr>
      <w:ind w:firstLine="709"/>
      <w:jc w:val="both"/>
    </w:pPr>
    <w:rPr>
      <w:szCs w:val="28"/>
      <w:lang/>
    </w:rPr>
  </w:style>
  <w:style w:type="character" w:customStyle="1" w:styleId="af8">
    <w:name w:val="Акты Знак"/>
    <w:link w:val="af7"/>
    <w:uiPriority w:val="99"/>
    <w:locked/>
    <w:rsid w:val="00967BF5"/>
    <w:rPr>
      <w:sz w:val="28"/>
      <w:szCs w:val="28"/>
      <w:lang/>
    </w:rPr>
  </w:style>
  <w:style w:type="character" w:customStyle="1" w:styleId="rvts6">
    <w:name w:val="rvts6"/>
    <w:basedOn w:val="a0"/>
    <w:uiPriority w:val="99"/>
    <w:rsid w:val="00967BF5"/>
  </w:style>
  <w:style w:type="paragraph" w:customStyle="1" w:styleId="ConsPlusNonformat">
    <w:name w:val="ConsPlusNonformat"/>
    <w:rsid w:val="00EF4661"/>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52BA2"/>
  </w:style>
  <w:style w:type="paragraph" w:customStyle="1" w:styleId="p7">
    <w:name w:val="p7"/>
    <w:basedOn w:val="a"/>
    <w:rsid w:val="003D1617"/>
    <w:pPr>
      <w:spacing w:before="100" w:beforeAutospacing="1" w:after="100" w:afterAutospacing="1"/>
    </w:pPr>
    <w:rPr>
      <w:sz w:val="24"/>
    </w:rPr>
  </w:style>
  <w:style w:type="paragraph" w:customStyle="1" w:styleId="p6">
    <w:name w:val="p6"/>
    <w:basedOn w:val="a"/>
    <w:rsid w:val="003D1617"/>
    <w:pPr>
      <w:spacing w:before="100" w:beforeAutospacing="1" w:after="100" w:afterAutospacing="1"/>
    </w:pPr>
    <w:rPr>
      <w:sz w:val="24"/>
    </w:rPr>
  </w:style>
  <w:style w:type="character" w:customStyle="1" w:styleId="af9">
    <w:name w:val="Текст выноски Знак"/>
    <w:basedOn w:val="a0"/>
    <w:link w:val="afa"/>
    <w:rsid w:val="0060777C"/>
    <w:rPr>
      <w:rFonts w:ascii="Tahoma" w:hAnsi="Tahoma" w:cs="Tahoma"/>
      <w:sz w:val="16"/>
      <w:szCs w:val="16"/>
    </w:rPr>
  </w:style>
  <w:style w:type="paragraph" w:styleId="afa">
    <w:name w:val="Balloon Text"/>
    <w:basedOn w:val="a"/>
    <w:link w:val="af9"/>
    <w:rsid w:val="0060777C"/>
    <w:rPr>
      <w:rFonts w:ascii="Tahoma" w:hAnsi="Tahoma" w:cs="Tahoma"/>
      <w:sz w:val="16"/>
      <w:szCs w:val="16"/>
    </w:rPr>
  </w:style>
  <w:style w:type="character" w:customStyle="1" w:styleId="11">
    <w:name w:val="Текст выноски Знак1"/>
    <w:basedOn w:val="a0"/>
    <w:link w:val="afa"/>
    <w:rsid w:val="0060777C"/>
    <w:rPr>
      <w:rFonts w:ascii="Tahoma" w:hAnsi="Tahoma" w:cs="Tahoma"/>
      <w:sz w:val="16"/>
      <w:szCs w:val="16"/>
    </w:rPr>
  </w:style>
  <w:style w:type="paragraph" w:customStyle="1" w:styleId="Iauiue">
    <w:name w:val="Iau?iue"/>
    <w:rsid w:val="008C4BC6"/>
    <w:pPr>
      <w:widowControl w:val="0"/>
    </w:pPr>
  </w:style>
  <w:style w:type="paragraph" w:styleId="afb">
    <w:name w:val="List Paragraph"/>
    <w:basedOn w:val="a"/>
    <w:uiPriority w:val="34"/>
    <w:qFormat/>
    <w:rsid w:val="00295350"/>
    <w:pPr>
      <w:ind w:left="720"/>
      <w:contextualSpacing/>
    </w:pPr>
    <w:rPr>
      <w:sz w:val="24"/>
      <w:szCs w:val="20"/>
    </w:rPr>
  </w:style>
  <w:style w:type="paragraph" w:customStyle="1" w:styleId="ConsPlusTitlePage">
    <w:name w:val="ConsPlusTitlePage"/>
    <w:rsid w:val="00CD5AF8"/>
    <w:pPr>
      <w:widowControl w:val="0"/>
      <w:autoSpaceDE w:val="0"/>
      <w:autoSpaceDN w:val="0"/>
    </w:pPr>
    <w:rPr>
      <w:rFonts w:ascii="Tahoma" w:hAnsi="Tahoma" w:cs="Tahoma"/>
    </w:rPr>
  </w:style>
  <w:style w:type="paragraph" w:customStyle="1" w:styleId="Default">
    <w:name w:val="Default"/>
    <w:rsid w:val="009B58F2"/>
    <w:pPr>
      <w:autoSpaceDE w:val="0"/>
      <w:autoSpaceDN w:val="0"/>
      <w:adjustRightInd w:val="0"/>
    </w:pPr>
    <w:rPr>
      <w:color w:val="000000"/>
      <w:sz w:val="24"/>
      <w:szCs w:val="24"/>
    </w:rPr>
  </w:style>
  <w:style w:type="paragraph" w:customStyle="1" w:styleId="Style7">
    <w:name w:val="Style7"/>
    <w:basedOn w:val="a"/>
    <w:rsid w:val="009B58F2"/>
    <w:pPr>
      <w:widowControl w:val="0"/>
      <w:autoSpaceDE w:val="0"/>
      <w:autoSpaceDN w:val="0"/>
      <w:adjustRightInd w:val="0"/>
    </w:pPr>
    <w:rPr>
      <w:sz w:val="24"/>
    </w:rPr>
  </w:style>
  <w:style w:type="paragraph" w:customStyle="1" w:styleId="Style5">
    <w:name w:val="Style5"/>
    <w:basedOn w:val="a"/>
    <w:rsid w:val="009B58F2"/>
    <w:pPr>
      <w:widowControl w:val="0"/>
      <w:autoSpaceDE w:val="0"/>
      <w:autoSpaceDN w:val="0"/>
      <w:adjustRightInd w:val="0"/>
    </w:pPr>
    <w:rPr>
      <w:sz w:val="24"/>
    </w:rPr>
  </w:style>
  <w:style w:type="paragraph" w:customStyle="1" w:styleId="Style11">
    <w:name w:val="Style11"/>
    <w:basedOn w:val="a"/>
    <w:rsid w:val="009B58F2"/>
    <w:pPr>
      <w:widowControl w:val="0"/>
      <w:autoSpaceDE w:val="0"/>
      <w:autoSpaceDN w:val="0"/>
      <w:adjustRightInd w:val="0"/>
    </w:pPr>
    <w:rPr>
      <w:sz w:val="24"/>
    </w:rPr>
  </w:style>
  <w:style w:type="paragraph" w:customStyle="1" w:styleId="Style13">
    <w:name w:val="Style13"/>
    <w:basedOn w:val="a"/>
    <w:rsid w:val="009B58F2"/>
    <w:pPr>
      <w:widowControl w:val="0"/>
      <w:autoSpaceDE w:val="0"/>
      <w:autoSpaceDN w:val="0"/>
      <w:adjustRightInd w:val="0"/>
    </w:pPr>
    <w:rPr>
      <w:sz w:val="24"/>
    </w:rPr>
  </w:style>
  <w:style w:type="character" w:customStyle="1" w:styleId="FontStyle15">
    <w:name w:val="Font Style15"/>
    <w:basedOn w:val="a0"/>
    <w:rsid w:val="009B58F2"/>
    <w:rPr>
      <w:rFonts w:ascii="Times New Roman" w:hAnsi="Times New Roman" w:cs="Times New Roman"/>
      <w:sz w:val="20"/>
      <w:szCs w:val="20"/>
    </w:rPr>
  </w:style>
  <w:style w:type="paragraph" w:styleId="22">
    <w:name w:val="Body Text Indent 2"/>
    <w:basedOn w:val="a"/>
    <w:link w:val="23"/>
    <w:uiPriority w:val="99"/>
    <w:rsid w:val="00815CFA"/>
    <w:pPr>
      <w:spacing w:after="120" w:line="480" w:lineRule="auto"/>
      <w:ind w:left="283"/>
    </w:pPr>
    <w:rPr>
      <w:sz w:val="20"/>
      <w:szCs w:val="20"/>
    </w:rPr>
  </w:style>
  <w:style w:type="character" w:customStyle="1" w:styleId="23">
    <w:name w:val="Основной текст с отступом 2 Знак"/>
    <w:basedOn w:val="a0"/>
    <w:link w:val="22"/>
    <w:uiPriority w:val="99"/>
    <w:rsid w:val="00815CFA"/>
  </w:style>
  <w:style w:type="character" w:styleId="afc">
    <w:name w:val="footnote reference"/>
    <w:basedOn w:val="a0"/>
    <w:uiPriority w:val="99"/>
    <w:rsid w:val="00815CFA"/>
    <w:rPr>
      <w:vertAlign w:val="superscript"/>
    </w:rPr>
  </w:style>
  <w:style w:type="paragraph" w:customStyle="1" w:styleId="ConsPlusCell">
    <w:name w:val="ConsPlusCell"/>
    <w:rsid w:val="00815CFA"/>
    <w:pPr>
      <w:autoSpaceDE w:val="0"/>
      <w:autoSpaceDN w:val="0"/>
      <w:adjustRightInd w:val="0"/>
    </w:pPr>
    <w:rPr>
      <w:rFonts w:ascii="Arial" w:hAnsi="Arial" w:cs="Arial"/>
    </w:rPr>
  </w:style>
  <w:style w:type="character" w:styleId="afd">
    <w:name w:val="FollowedHyperlink"/>
    <w:basedOn w:val="a0"/>
    <w:uiPriority w:val="99"/>
    <w:rsid w:val="00815CFA"/>
    <w:rPr>
      <w:color w:val="800080"/>
      <w:u w:val="single"/>
    </w:rPr>
  </w:style>
  <w:style w:type="paragraph" w:customStyle="1" w:styleId="xl65">
    <w:name w:val="xl65"/>
    <w:basedOn w:val="a"/>
    <w:uiPriority w:val="99"/>
    <w:rsid w:val="00815CFA"/>
    <w:pPr>
      <w:spacing w:before="100" w:beforeAutospacing="1" w:after="100" w:afterAutospacing="1"/>
    </w:pPr>
    <w:rPr>
      <w:sz w:val="24"/>
    </w:rPr>
  </w:style>
  <w:style w:type="paragraph" w:customStyle="1" w:styleId="xl66">
    <w:name w:val="xl66"/>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67">
    <w:name w:val="xl67"/>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68">
    <w:name w:val="xl68"/>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69">
    <w:name w:val="xl69"/>
    <w:basedOn w:val="a"/>
    <w:uiPriority w:val="99"/>
    <w:rsid w:val="00815CFA"/>
    <w:pPr>
      <w:spacing w:before="100" w:beforeAutospacing="1" w:after="100" w:afterAutospacing="1"/>
    </w:pPr>
    <w:rPr>
      <w:sz w:val="24"/>
    </w:rPr>
  </w:style>
  <w:style w:type="paragraph" w:customStyle="1" w:styleId="xl70">
    <w:name w:val="xl70"/>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1">
    <w:name w:val="xl71"/>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16">
    <w:name w:val="xl116"/>
    <w:basedOn w:val="a"/>
    <w:rsid w:val="00815CFA"/>
    <w:pPr>
      <w:spacing w:before="100" w:beforeAutospacing="1" w:after="100" w:afterAutospacing="1"/>
    </w:pPr>
    <w:rPr>
      <w:sz w:val="24"/>
    </w:rPr>
  </w:style>
  <w:style w:type="paragraph" w:customStyle="1" w:styleId="xl117">
    <w:name w:val="xl117"/>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8">
    <w:name w:val="xl118"/>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9">
    <w:name w:val="xl119"/>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0">
    <w:name w:val="xl120"/>
    <w:basedOn w:val="a"/>
    <w:rsid w:val="00815CFA"/>
    <w:pPr>
      <w:spacing w:before="100" w:beforeAutospacing="1" w:after="100" w:afterAutospacing="1"/>
    </w:pPr>
    <w:rPr>
      <w:sz w:val="24"/>
    </w:rPr>
  </w:style>
  <w:style w:type="paragraph" w:customStyle="1" w:styleId="xl121">
    <w:name w:val="xl121"/>
    <w:basedOn w:val="a"/>
    <w:rsid w:val="00815CFA"/>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22">
    <w:name w:val="xl122"/>
    <w:basedOn w:val="a"/>
    <w:rsid w:val="00815CFA"/>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23">
    <w:name w:val="xl123"/>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24">
    <w:name w:val="xl124"/>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5">
    <w:name w:val="xl125"/>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6">
    <w:name w:val="xl126"/>
    <w:basedOn w:val="a"/>
    <w:rsid w:val="00815CFA"/>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7">
    <w:name w:val="xl127"/>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character" w:customStyle="1" w:styleId="afe">
    <w:name w:val="номер страницы"/>
    <w:basedOn w:val="a0"/>
    <w:rsid w:val="00700DE4"/>
  </w:style>
  <w:style w:type="paragraph" w:customStyle="1" w:styleId="aff">
    <w:name w:val="Прижатый влево"/>
    <w:basedOn w:val="a"/>
    <w:next w:val="a"/>
    <w:rsid w:val="00D85587"/>
    <w:pPr>
      <w:autoSpaceDE w:val="0"/>
      <w:autoSpaceDN w:val="0"/>
      <w:adjustRightInd w:val="0"/>
    </w:pPr>
    <w:rPr>
      <w:rFonts w:ascii="Arial" w:hAnsi="Arial"/>
      <w:sz w:val="20"/>
      <w:szCs w:val="20"/>
    </w:rPr>
  </w:style>
  <w:style w:type="paragraph" w:customStyle="1" w:styleId="12">
    <w:name w:val="Абзац списка1"/>
    <w:basedOn w:val="a"/>
    <w:uiPriority w:val="34"/>
    <w:qFormat/>
    <w:rsid w:val="00D85587"/>
    <w:pPr>
      <w:ind w:left="720"/>
      <w:contextualSpacing/>
    </w:pPr>
    <w:rPr>
      <w:sz w:val="20"/>
      <w:szCs w:val="20"/>
    </w:rPr>
  </w:style>
  <w:style w:type="paragraph" w:customStyle="1" w:styleId="13">
    <w:name w:val="1 Обычный"/>
    <w:basedOn w:val="a"/>
    <w:rsid w:val="00811E85"/>
    <w:pPr>
      <w:autoSpaceDE w:val="0"/>
      <w:spacing w:before="120" w:after="120" w:line="360" w:lineRule="auto"/>
      <w:ind w:firstLine="720"/>
      <w:jc w:val="both"/>
    </w:pPr>
    <w:rPr>
      <w:rFonts w:ascii="Arial" w:hAnsi="Arial" w:cs="Arial"/>
      <w:sz w:val="24"/>
      <w:lang w:eastAsia="en-US" w:bidi="en-US"/>
    </w:rPr>
  </w:style>
  <w:style w:type="paragraph" w:styleId="aff0">
    <w:name w:val="footnote text"/>
    <w:basedOn w:val="a"/>
    <w:link w:val="aff1"/>
    <w:rsid w:val="00E24125"/>
    <w:pPr>
      <w:widowControl w:val="0"/>
      <w:autoSpaceDE w:val="0"/>
      <w:autoSpaceDN w:val="0"/>
      <w:adjustRightInd w:val="0"/>
      <w:spacing w:line="360" w:lineRule="auto"/>
      <w:ind w:firstLine="720"/>
      <w:jc w:val="both"/>
    </w:pPr>
    <w:rPr>
      <w:sz w:val="20"/>
      <w:szCs w:val="20"/>
    </w:rPr>
  </w:style>
  <w:style w:type="character" w:customStyle="1" w:styleId="aff1">
    <w:name w:val="Текст сноски Знак"/>
    <w:basedOn w:val="a0"/>
    <w:link w:val="aff0"/>
    <w:rsid w:val="00E24125"/>
  </w:style>
  <w:style w:type="paragraph" w:styleId="aff2">
    <w:name w:val="Subtitle"/>
    <w:basedOn w:val="a"/>
    <w:next w:val="a"/>
    <w:link w:val="aff3"/>
    <w:qFormat/>
    <w:rsid w:val="003C54B2"/>
    <w:pPr>
      <w:spacing w:after="60"/>
      <w:jc w:val="center"/>
      <w:outlineLvl w:val="1"/>
    </w:pPr>
    <w:rPr>
      <w:rFonts w:ascii="Cambria" w:hAnsi="Cambria"/>
      <w:sz w:val="24"/>
    </w:rPr>
  </w:style>
  <w:style w:type="character" w:customStyle="1" w:styleId="aff3">
    <w:name w:val="Подзаголовок Знак"/>
    <w:basedOn w:val="a0"/>
    <w:link w:val="aff2"/>
    <w:rsid w:val="003C54B2"/>
    <w:rPr>
      <w:rFonts w:ascii="Cambria" w:hAnsi="Cambria"/>
      <w:sz w:val="24"/>
      <w:szCs w:val="24"/>
    </w:rPr>
  </w:style>
  <w:style w:type="character" w:customStyle="1" w:styleId="s1">
    <w:name w:val="s1"/>
    <w:basedOn w:val="a0"/>
    <w:rsid w:val="003C54B2"/>
  </w:style>
  <w:style w:type="paragraph" w:customStyle="1" w:styleId="p3">
    <w:name w:val="p3"/>
    <w:basedOn w:val="a"/>
    <w:rsid w:val="003C54B2"/>
    <w:pPr>
      <w:spacing w:before="100" w:beforeAutospacing="1" w:after="100" w:afterAutospacing="1"/>
    </w:pPr>
    <w:rPr>
      <w:sz w:val="24"/>
    </w:rPr>
  </w:style>
  <w:style w:type="character" w:customStyle="1" w:styleId="14">
    <w:name w:val="Основной текст1"/>
    <w:rsid w:val="003C54B2"/>
    <w:rPr>
      <w:rFonts w:ascii="Times New Roman" w:eastAsia="Times New Roman" w:hAnsi="Times New Roman"/>
      <w:color w:val="000000"/>
      <w:spacing w:val="0"/>
      <w:w w:val="100"/>
      <w:position w:val="0"/>
      <w:sz w:val="27"/>
      <w:szCs w:val="27"/>
      <w:shd w:val="clear" w:color="auto" w:fill="FFFFFF"/>
      <w:lang w:val="ru-RU"/>
    </w:rPr>
  </w:style>
  <w:style w:type="paragraph" w:customStyle="1" w:styleId="31">
    <w:name w:val="Основной текст3"/>
    <w:basedOn w:val="a"/>
    <w:rsid w:val="003C54B2"/>
    <w:pPr>
      <w:widowControl w:val="0"/>
      <w:shd w:val="clear" w:color="auto" w:fill="FFFFFF"/>
      <w:spacing w:after="120" w:line="371" w:lineRule="exact"/>
      <w:jc w:val="both"/>
    </w:pPr>
    <w:rPr>
      <w:color w:val="000000"/>
      <w:sz w:val="27"/>
      <w:szCs w:val="27"/>
    </w:rPr>
  </w:style>
  <w:style w:type="paragraph" w:styleId="aff4">
    <w:name w:val="Plain Text"/>
    <w:basedOn w:val="a"/>
    <w:link w:val="aff5"/>
    <w:rsid w:val="005A3CD5"/>
    <w:rPr>
      <w:rFonts w:ascii="Courier New" w:hAnsi="Courier New" w:cs="Courier New"/>
      <w:sz w:val="20"/>
      <w:szCs w:val="20"/>
    </w:rPr>
  </w:style>
  <w:style w:type="character" w:customStyle="1" w:styleId="aff5">
    <w:name w:val="Текст Знак"/>
    <w:basedOn w:val="a0"/>
    <w:link w:val="aff4"/>
    <w:rsid w:val="005A3CD5"/>
    <w:rPr>
      <w:rFonts w:ascii="Courier New" w:hAnsi="Courier New" w:cs="Courier New"/>
    </w:rPr>
  </w:style>
  <w:style w:type="character" w:customStyle="1" w:styleId="105pt0pt">
    <w:name w:val="Основной текст + 10;5 pt;Интервал 0 pt"/>
    <w:rsid w:val="005A3CD5"/>
    <w:rPr>
      <w:rFonts w:ascii="Times New Roman" w:eastAsia="Times New Roman" w:hAnsi="Times New Roman" w:cs="Times New Roman"/>
      <w:b/>
      <w:bCs/>
      <w:i w:val="0"/>
      <w:iCs w:val="0"/>
      <w:smallCaps w:val="0"/>
      <w:strike w:val="0"/>
      <w:color w:val="000000"/>
      <w:spacing w:val="-9"/>
      <w:w w:val="100"/>
      <w:position w:val="0"/>
      <w:sz w:val="21"/>
      <w:szCs w:val="21"/>
      <w:u w:val="none"/>
      <w:shd w:val="clear" w:color="auto" w:fill="FFFFFF"/>
      <w:lang w:val="ru-RU"/>
    </w:rPr>
  </w:style>
  <w:style w:type="paragraph" w:customStyle="1" w:styleId="15">
    <w:name w:val="заголовок 1"/>
    <w:basedOn w:val="a"/>
    <w:next w:val="a"/>
    <w:rsid w:val="00275BAE"/>
    <w:pPr>
      <w:keepNext/>
      <w:widowControl w:val="0"/>
    </w:pPr>
    <w:rPr>
      <w:szCs w:val="20"/>
    </w:rPr>
  </w:style>
  <w:style w:type="paragraph" w:customStyle="1" w:styleId="BodyTextIndent2">
    <w:name w:val="Body Text Indent 2"/>
    <w:basedOn w:val="a"/>
    <w:rsid w:val="00275BAE"/>
    <w:pPr>
      <w:widowControl w:val="0"/>
      <w:ind w:firstLine="720"/>
      <w:jc w:val="both"/>
    </w:pPr>
    <w:rPr>
      <w:szCs w:val="20"/>
    </w:rPr>
  </w:style>
  <w:style w:type="paragraph" w:customStyle="1" w:styleId="24">
    <w:name w:val="заголовок 2"/>
    <w:basedOn w:val="a"/>
    <w:next w:val="a"/>
    <w:rsid w:val="00275BAE"/>
    <w:pPr>
      <w:keepNext/>
      <w:widowControl w:val="0"/>
      <w:jc w:val="both"/>
    </w:pPr>
    <w:rPr>
      <w:szCs w:val="20"/>
    </w:rPr>
  </w:style>
  <w:style w:type="character" w:customStyle="1" w:styleId="aff6">
    <w:name w:val="Основной шрифт"/>
    <w:rsid w:val="00275BAE"/>
  </w:style>
  <w:style w:type="paragraph" w:customStyle="1" w:styleId="BodyText2">
    <w:name w:val="Body Text 2"/>
    <w:basedOn w:val="a"/>
    <w:rsid w:val="00275BAE"/>
    <w:pPr>
      <w:widowControl w:val="0"/>
      <w:jc w:val="both"/>
    </w:pPr>
    <w:rPr>
      <w:b/>
      <w:szCs w:val="20"/>
      <w:u w:val="single"/>
    </w:rPr>
  </w:style>
  <w:style w:type="paragraph" w:customStyle="1" w:styleId="BodyText3">
    <w:name w:val="Body Text 3"/>
    <w:basedOn w:val="a"/>
    <w:rsid w:val="00275BAE"/>
    <w:pPr>
      <w:widowControl w:val="0"/>
      <w:jc w:val="both"/>
    </w:pPr>
    <w:rPr>
      <w:b/>
      <w:szCs w:val="20"/>
    </w:rPr>
  </w:style>
  <w:style w:type="paragraph" w:customStyle="1" w:styleId="210">
    <w:name w:val="Основной текст 21"/>
    <w:basedOn w:val="a"/>
    <w:rsid w:val="00275BAE"/>
    <w:pPr>
      <w:widowControl w:val="0"/>
      <w:ind w:left="360"/>
      <w:jc w:val="both"/>
    </w:pPr>
    <w:rPr>
      <w:szCs w:val="20"/>
    </w:rPr>
  </w:style>
  <w:style w:type="paragraph" w:customStyle="1" w:styleId="PlainText">
    <w:name w:val="Plain Text"/>
    <w:basedOn w:val="a"/>
    <w:rsid w:val="00275BAE"/>
    <w:rPr>
      <w:rFonts w:ascii="Courier New" w:hAnsi="Courier New"/>
      <w:sz w:val="20"/>
      <w:szCs w:val="20"/>
    </w:rPr>
  </w:style>
  <w:style w:type="paragraph" w:customStyle="1" w:styleId="BodyTextIndent3">
    <w:name w:val="Body Text Indent 3"/>
    <w:basedOn w:val="a"/>
    <w:rsid w:val="00275BAE"/>
    <w:pPr>
      <w:ind w:firstLine="426"/>
      <w:jc w:val="both"/>
    </w:pPr>
    <w:rPr>
      <w:sz w:val="24"/>
      <w:szCs w:val="20"/>
    </w:rPr>
  </w:style>
  <w:style w:type="character" w:customStyle="1" w:styleId="Hyperlink">
    <w:name w:val="Hyperlink"/>
    <w:basedOn w:val="a0"/>
    <w:rsid w:val="00275BAE"/>
    <w:rPr>
      <w:color w:val="0000FF"/>
      <w:u w:val="single"/>
    </w:rPr>
  </w:style>
  <w:style w:type="paragraph" w:customStyle="1" w:styleId="FR1">
    <w:name w:val="FR1"/>
    <w:rsid w:val="00275BAE"/>
    <w:pPr>
      <w:ind w:right="200"/>
      <w:jc w:val="center"/>
    </w:pPr>
    <w:rPr>
      <w:rFonts w:ascii="Arial" w:hAnsi="Arial"/>
      <w:sz w:val="22"/>
    </w:rPr>
  </w:style>
  <w:style w:type="paragraph" w:customStyle="1" w:styleId="PlainText1">
    <w:name w:val="Plain Text1"/>
    <w:basedOn w:val="a"/>
    <w:rsid w:val="00275BAE"/>
    <w:pPr>
      <w:widowControl w:val="0"/>
    </w:pPr>
    <w:rPr>
      <w:rFonts w:ascii="Courier New" w:hAnsi="Courier New"/>
      <w:sz w:val="20"/>
      <w:szCs w:val="20"/>
    </w:rPr>
  </w:style>
  <w:style w:type="paragraph" w:customStyle="1" w:styleId="font5">
    <w:name w:val="font5"/>
    <w:basedOn w:val="a"/>
    <w:rsid w:val="00275BAE"/>
    <w:pPr>
      <w:spacing w:before="100" w:beforeAutospacing="1" w:after="100" w:afterAutospacing="1"/>
    </w:pPr>
    <w:rPr>
      <w:b/>
      <w:bCs/>
      <w:szCs w:val="28"/>
    </w:rPr>
  </w:style>
  <w:style w:type="paragraph" w:customStyle="1" w:styleId="font6">
    <w:name w:val="font6"/>
    <w:basedOn w:val="a"/>
    <w:rsid w:val="00275BAE"/>
    <w:pPr>
      <w:spacing w:before="100" w:beforeAutospacing="1" w:after="100" w:afterAutospacing="1"/>
    </w:pPr>
    <w:rPr>
      <w:szCs w:val="28"/>
    </w:rPr>
  </w:style>
  <w:style w:type="paragraph" w:customStyle="1" w:styleId="xl24">
    <w:name w:val="xl24"/>
    <w:basedOn w:val="a"/>
    <w:rsid w:val="00275BAE"/>
    <w:pPr>
      <w:spacing w:before="100" w:beforeAutospacing="1" w:after="100" w:afterAutospacing="1"/>
      <w:jc w:val="right"/>
    </w:pPr>
    <w:rPr>
      <w:b/>
      <w:bCs/>
      <w:color w:val="FF0000"/>
      <w:szCs w:val="28"/>
    </w:rPr>
  </w:style>
  <w:style w:type="paragraph" w:customStyle="1" w:styleId="xl25">
    <w:name w:val="xl25"/>
    <w:basedOn w:val="a"/>
    <w:rsid w:val="00275BAE"/>
    <w:pPr>
      <w:spacing w:before="100" w:beforeAutospacing="1" w:after="100" w:afterAutospacing="1"/>
      <w:jc w:val="right"/>
    </w:pPr>
    <w:rPr>
      <w:sz w:val="24"/>
    </w:rPr>
  </w:style>
  <w:style w:type="paragraph" w:customStyle="1" w:styleId="xl26">
    <w:name w:val="xl26"/>
    <w:basedOn w:val="a"/>
    <w:rsid w:val="00275BAE"/>
    <w:pPr>
      <w:spacing w:before="100" w:beforeAutospacing="1" w:after="100" w:afterAutospacing="1"/>
      <w:jc w:val="right"/>
    </w:pPr>
    <w:rPr>
      <w:szCs w:val="28"/>
    </w:rPr>
  </w:style>
  <w:style w:type="paragraph" w:customStyle="1" w:styleId="xl27">
    <w:name w:val="xl27"/>
    <w:basedOn w:val="a"/>
    <w:rsid w:val="00275BAE"/>
    <w:pPr>
      <w:spacing w:before="100" w:beforeAutospacing="1" w:after="100" w:afterAutospacing="1"/>
      <w:textAlignment w:val="top"/>
    </w:pPr>
    <w:rPr>
      <w:b/>
      <w:bCs/>
      <w:szCs w:val="28"/>
    </w:rPr>
  </w:style>
  <w:style w:type="paragraph" w:customStyle="1" w:styleId="xl28">
    <w:name w:val="xl28"/>
    <w:basedOn w:val="a"/>
    <w:rsid w:val="00275BAE"/>
    <w:pPr>
      <w:spacing w:before="100" w:beforeAutospacing="1" w:after="100" w:afterAutospacing="1"/>
      <w:jc w:val="right"/>
    </w:pPr>
    <w:rPr>
      <w:color w:val="FF0000"/>
      <w:szCs w:val="28"/>
    </w:rPr>
  </w:style>
  <w:style w:type="paragraph" w:customStyle="1" w:styleId="xl29">
    <w:name w:val="xl29"/>
    <w:basedOn w:val="a"/>
    <w:rsid w:val="00275BAE"/>
    <w:pPr>
      <w:spacing w:before="100" w:beforeAutospacing="1" w:after="100" w:afterAutospacing="1"/>
      <w:jc w:val="right"/>
    </w:pPr>
    <w:rPr>
      <w:b/>
      <w:bCs/>
      <w:szCs w:val="28"/>
    </w:rPr>
  </w:style>
  <w:style w:type="paragraph" w:customStyle="1" w:styleId="xl30">
    <w:name w:val="xl30"/>
    <w:basedOn w:val="a"/>
    <w:rsid w:val="00275BAE"/>
    <w:pPr>
      <w:spacing w:before="100" w:beforeAutospacing="1" w:after="100" w:afterAutospacing="1"/>
      <w:textAlignment w:val="top"/>
    </w:pPr>
    <w:rPr>
      <w:rFonts w:ascii="Arial" w:hAnsi="Arial" w:cs="Arial"/>
      <w:b/>
      <w:bCs/>
      <w:szCs w:val="28"/>
    </w:rPr>
  </w:style>
  <w:style w:type="paragraph" w:customStyle="1" w:styleId="xl31">
    <w:name w:val="xl31"/>
    <w:basedOn w:val="a"/>
    <w:rsid w:val="00275BAE"/>
    <w:pPr>
      <w:spacing w:before="100" w:beforeAutospacing="1" w:after="100" w:afterAutospacing="1"/>
      <w:jc w:val="right"/>
    </w:pPr>
    <w:rPr>
      <w:rFonts w:ascii="Arial" w:hAnsi="Arial" w:cs="Arial"/>
      <w:b/>
      <w:bCs/>
      <w:color w:val="FF0000"/>
      <w:szCs w:val="28"/>
    </w:rPr>
  </w:style>
  <w:style w:type="paragraph" w:customStyle="1" w:styleId="xl32">
    <w:name w:val="xl32"/>
    <w:basedOn w:val="a"/>
    <w:rsid w:val="00275BAE"/>
    <w:pPr>
      <w:spacing w:before="100" w:beforeAutospacing="1" w:after="100" w:afterAutospacing="1"/>
      <w:textAlignment w:val="top"/>
    </w:pPr>
    <w:rPr>
      <w:rFonts w:ascii="Arial" w:hAnsi="Arial" w:cs="Arial"/>
      <w:b/>
      <w:bCs/>
      <w:color w:val="FF0000"/>
      <w:szCs w:val="28"/>
    </w:rPr>
  </w:style>
  <w:style w:type="paragraph" w:customStyle="1" w:styleId="xl33">
    <w:name w:val="xl33"/>
    <w:basedOn w:val="a"/>
    <w:rsid w:val="00275BAE"/>
    <w:pPr>
      <w:spacing w:before="100" w:beforeAutospacing="1" w:after="100" w:afterAutospacing="1"/>
      <w:jc w:val="right"/>
    </w:pPr>
    <w:rPr>
      <w:rFonts w:ascii="Arial" w:hAnsi="Arial" w:cs="Arial"/>
      <w:b/>
      <w:bCs/>
      <w:color w:val="FF0000"/>
      <w:szCs w:val="28"/>
    </w:rPr>
  </w:style>
  <w:style w:type="paragraph" w:customStyle="1" w:styleId="xl34">
    <w:name w:val="xl34"/>
    <w:basedOn w:val="a"/>
    <w:rsid w:val="00275BAE"/>
    <w:pPr>
      <w:spacing w:before="100" w:beforeAutospacing="1" w:after="100" w:afterAutospacing="1"/>
      <w:textAlignment w:val="top"/>
    </w:pPr>
    <w:rPr>
      <w:rFonts w:ascii="Arial" w:hAnsi="Arial" w:cs="Arial"/>
      <w:b/>
      <w:bCs/>
      <w:color w:val="FF0000"/>
      <w:szCs w:val="28"/>
    </w:rPr>
  </w:style>
  <w:style w:type="paragraph" w:styleId="32">
    <w:name w:val="Body Text Indent 3"/>
    <w:basedOn w:val="a"/>
    <w:link w:val="33"/>
    <w:rsid w:val="00275BAE"/>
    <w:pPr>
      <w:spacing w:line="360" w:lineRule="atLeast"/>
      <w:ind w:firstLine="851"/>
      <w:jc w:val="both"/>
    </w:pPr>
    <w:rPr>
      <w:color w:val="FF0000"/>
    </w:rPr>
  </w:style>
  <w:style w:type="character" w:customStyle="1" w:styleId="33">
    <w:name w:val="Основной текст с отступом 3 Знак"/>
    <w:basedOn w:val="a0"/>
    <w:link w:val="32"/>
    <w:rsid w:val="00275BAE"/>
    <w:rPr>
      <w:color w:val="FF0000"/>
      <w:sz w:val="28"/>
      <w:szCs w:val="24"/>
    </w:rPr>
  </w:style>
  <w:style w:type="paragraph" w:customStyle="1" w:styleId="xl35">
    <w:name w:val="xl35"/>
    <w:basedOn w:val="a"/>
    <w:rsid w:val="00275BAE"/>
    <w:pPr>
      <w:spacing w:before="100" w:beforeAutospacing="1" w:after="100" w:afterAutospacing="1"/>
    </w:pPr>
    <w:rPr>
      <w:b/>
      <w:bCs/>
      <w:color w:val="FF0000"/>
      <w:szCs w:val="28"/>
    </w:rPr>
  </w:style>
  <w:style w:type="paragraph" w:customStyle="1" w:styleId="xl36">
    <w:name w:val="xl36"/>
    <w:basedOn w:val="a"/>
    <w:rsid w:val="00275BAE"/>
    <w:pPr>
      <w:spacing w:before="100" w:beforeAutospacing="1" w:after="100" w:afterAutospacing="1"/>
      <w:textAlignment w:val="top"/>
    </w:pPr>
    <w:rPr>
      <w:rFonts w:eastAsia="Arial Unicode MS"/>
      <w:color w:val="FF6600"/>
      <w:szCs w:val="28"/>
    </w:rPr>
  </w:style>
  <w:style w:type="paragraph" w:customStyle="1" w:styleId="xl37">
    <w:name w:val="xl37"/>
    <w:basedOn w:val="a"/>
    <w:rsid w:val="00275BAE"/>
    <w:pPr>
      <w:spacing w:before="100" w:beforeAutospacing="1" w:after="100" w:afterAutospacing="1"/>
      <w:jc w:val="right"/>
    </w:pPr>
    <w:rPr>
      <w:rFonts w:eastAsia="Arial Unicode MS"/>
      <w:color w:val="FF6600"/>
      <w:szCs w:val="28"/>
    </w:rPr>
  </w:style>
  <w:style w:type="paragraph" w:customStyle="1" w:styleId="xl38">
    <w:name w:val="xl38"/>
    <w:basedOn w:val="a"/>
    <w:rsid w:val="00275BAE"/>
    <w:pPr>
      <w:spacing w:before="100" w:beforeAutospacing="1" w:after="100" w:afterAutospacing="1"/>
      <w:jc w:val="right"/>
    </w:pPr>
    <w:rPr>
      <w:rFonts w:eastAsia="Arial Unicode MS"/>
      <w:sz w:val="24"/>
    </w:rPr>
  </w:style>
  <w:style w:type="paragraph" w:customStyle="1" w:styleId="font7">
    <w:name w:val="font7"/>
    <w:basedOn w:val="a"/>
    <w:rsid w:val="00275BAE"/>
    <w:pPr>
      <w:spacing w:before="100" w:beforeAutospacing="1" w:after="100" w:afterAutospacing="1"/>
    </w:pPr>
    <w:rPr>
      <w:rFonts w:eastAsia="Arial Unicode MS"/>
      <w:sz w:val="26"/>
      <w:szCs w:val="26"/>
    </w:rPr>
  </w:style>
  <w:style w:type="paragraph" w:customStyle="1" w:styleId="BodyTextIndent21">
    <w:name w:val="Body Text Indent 21"/>
    <w:basedOn w:val="a"/>
    <w:rsid w:val="00275BAE"/>
    <w:pPr>
      <w:widowControl w:val="0"/>
      <w:overflowPunct w:val="0"/>
      <w:autoSpaceDE w:val="0"/>
      <w:autoSpaceDN w:val="0"/>
      <w:adjustRightInd w:val="0"/>
      <w:spacing w:line="360" w:lineRule="auto"/>
      <w:ind w:firstLine="851"/>
      <w:jc w:val="both"/>
      <w:textAlignment w:val="baseline"/>
    </w:pPr>
    <w:rPr>
      <w:szCs w:val="20"/>
    </w:rPr>
  </w:style>
  <w:style w:type="paragraph" w:styleId="34">
    <w:name w:val="Body Text 3"/>
    <w:basedOn w:val="a"/>
    <w:link w:val="35"/>
    <w:rsid w:val="00275BAE"/>
    <w:pPr>
      <w:jc w:val="both"/>
    </w:pPr>
    <w:rPr>
      <w:color w:val="FF0000"/>
    </w:rPr>
  </w:style>
  <w:style w:type="character" w:customStyle="1" w:styleId="35">
    <w:name w:val="Основной текст 3 Знак"/>
    <w:basedOn w:val="a0"/>
    <w:link w:val="34"/>
    <w:rsid w:val="00275BAE"/>
    <w:rPr>
      <w:color w:val="FF0000"/>
      <w:sz w:val="28"/>
      <w:szCs w:val="24"/>
    </w:rPr>
  </w:style>
  <w:style w:type="paragraph" w:styleId="aff7">
    <w:name w:val="caption"/>
    <w:basedOn w:val="a"/>
    <w:next w:val="a"/>
    <w:qFormat/>
    <w:rsid w:val="00275BAE"/>
    <w:pPr>
      <w:tabs>
        <w:tab w:val="left" w:pos="3060"/>
      </w:tabs>
      <w:spacing w:before="120" w:line="240" w:lineRule="atLeast"/>
      <w:jc w:val="center"/>
    </w:pPr>
    <w:rPr>
      <w:b/>
      <w:sz w:val="30"/>
    </w:rPr>
  </w:style>
  <w:style w:type="paragraph" w:customStyle="1" w:styleId="BodyTextIndent31">
    <w:name w:val="Body Text Indent 31"/>
    <w:basedOn w:val="a"/>
    <w:rsid w:val="00275BAE"/>
    <w:pPr>
      <w:widowControl w:val="0"/>
      <w:overflowPunct w:val="0"/>
      <w:autoSpaceDE w:val="0"/>
      <w:autoSpaceDN w:val="0"/>
      <w:adjustRightInd w:val="0"/>
      <w:ind w:firstLine="720"/>
      <w:textAlignment w:val="baseline"/>
    </w:pPr>
    <w:rPr>
      <w:szCs w:val="20"/>
    </w:rPr>
  </w:style>
  <w:style w:type="paragraph" w:customStyle="1" w:styleId="BodyText21">
    <w:name w:val="Body Text 21"/>
    <w:basedOn w:val="a"/>
    <w:rsid w:val="00275BAE"/>
    <w:pPr>
      <w:widowControl w:val="0"/>
      <w:overflowPunct w:val="0"/>
      <w:autoSpaceDE w:val="0"/>
      <w:autoSpaceDN w:val="0"/>
      <w:adjustRightInd w:val="0"/>
      <w:ind w:firstLine="709"/>
      <w:jc w:val="both"/>
      <w:textAlignment w:val="baseline"/>
    </w:pPr>
    <w:rPr>
      <w:szCs w:val="20"/>
    </w:rPr>
  </w:style>
  <w:style w:type="paragraph" w:styleId="aff8">
    <w:name w:val="Block Text"/>
    <w:basedOn w:val="a"/>
    <w:rsid w:val="00275BAE"/>
    <w:pPr>
      <w:ind w:left="567" w:right="-1333" w:firstLine="851"/>
      <w:jc w:val="both"/>
    </w:pPr>
    <w:rPr>
      <w:szCs w:val="20"/>
    </w:rPr>
  </w:style>
  <w:style w:type="paragraph" w:customStyle="1" w:styleId="16">
    <w:name w:val="1"/>
    <w:basedOn w:val="a"/>
    <w:rsid w:val="00275BAE"/>
    <w:pPr>
      <w:spacing w:after="160" w:line="240" w:lineRule="exact"/>
    </w:pPr>
    <w:rPr>
      <w:rFonts w:ascii="Verdana" w:hAnsi="Verdana"/>
      <w:sz w:val="24"/>
      <w:lang w:val="en-US" w:eastAsia="en-US"/>
    </w:rPr>
  </w:style>
  <w:style w:type="paragraph" w:customStyle="1" w:styleId="xl102">
    <w:name w:val="xl102"/>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3">
    <w:name w:val="xl103"/>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
    <w:rsid w:val="006D1958"/>
    <w:pPr>
      <w:spacing w:before="100" w:beforeAutospacing="1" w:after="100" w:afterAutospacing="1"/>
    </w:pPr>
    <w:rPr>
      <w:sz w:val="24"/>
    </w:rPr>
  </w:style>
  <w:style w:type="paragraph" w:customStyle="1" w:styleId="xl105">
    <w:name w:val="xl105"/>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6">
    <w:name w:val="xl106"/>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7">
    <w:name w:val="xl107"/>
    <w:basedOn w:val="a"/>
    <w:rsid w:val="006D1958"/>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8">
    <w:name w:val="xl108"/>
    <w:basedOn w:val="a"/>
    <w:rsid w:val="006D1958"/>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9">
    <w:name w:val="xl109"/>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0">
    <w:name w:val="xl110"/>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1">
    <w:name w:val="xl111"/>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2">
    <w:name w:val="xl112"/>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3">
    <w:name w:val="xl113"/>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4">
    <w:name w:val="xl114"/>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5">
    <w:name w:val="xl115"/>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9">
    <w:name w:val="xl99"/>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0">
    <w:name w:val="xl100"/>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1">
    <w:name w:val="xl101"/>
    <w:basedOn w:val="a"/>
    <w:rsid w:val="006D1958"/>
    <w:pPr>
      <w:spacing w:before="100" w:beforeAutospacing="1" w:after="100" w:afterAutospacing="1"/>
    </w:pPr>
    <w:rPr>
      <w:sz w:val="24"/>
    </w:rPr>
  </w:style>
  <w:style w:type="character" w:customStyle="1" w:styleId="25">
    <w:name w:val="Основной текст (2)_"/>
    <w:basedOn w:val="a0"/>
    <w:link w:val="26"/>
    <w:rsid w:val="00013CEB"/>
    <w:rPr>
      <w:sz w:val="28"/>
      <w:szCs w:val="28"/>
      <w:shd w:val="clear" w:color="auto" w:fill="FFFFFF"/>
    </w:rPr>
  </w:style>
  <w:style w:type="paragraph" w:customStyle="1" w:styleId="26">
    <w:name w:val="Основной текст (2)"/>
    <w:basedOn w:val="a"/>
    <w:link w:val="25"/>
    <w:rsid w:val="00013CEB"/>
    <w:pPr>
      <w:widowControl w:val="0"/>
      <w:shd w:val="clear" w:color="auto" w:fill="FFFFFF"/>
      <w:spacing w:before="360" w:after="360" w:line="0" w:lineRule="atLeast"/>
      <w:jc w:val="right"/>
    </w:pPr>
    <w:rPr>
      <w:szCs w:val="28"/>
    </w:rPr>
  </w:style>
  <w:style w:type="character" w:customStyle="1" w:styleId="ConsPlusTitle0">
    <w:name w:val="ConsPlusTitle Знак"/>
    <w:basedOn w:val="a0"/>
    <w:link w:val="ConsPlusTitle"/>
    <w:uiPriority w:val="99"/>
    <w:locked/>
    <w:rsid w:val="00013CEB"/>
    <w:rPr>
      <w:rFonts w:ascii="Arial" w:hAnsi="Arial" w:cs="Arial"/>
      <w:b/>
      <w:bCs/>
      <w:lang w:val="ru-RU" w:eastAsia="ru-RU" w:bidi="ar-SA"/>
    </w:rPr>
  </w:style>
</w:styles>
</file>

<file path=word/webSettings.xml><?xml version="1.0" encoding="utf-8"?>
<w:webSettings xmlns:r="http://schemas.openxmlformats.org/officeDocument/2006/relationships" xmlns:w="http://schemas.openxmlformats.org/wordprocessingml/2006/main">
  <w:divs>
    <w:div w:id="617221109">
      <w:bodyDiv w:val="1"/>
      <w:marLeft w:val="0"/>
      <w:marRight w:val="0"/>
      <w:marTop w:val="0"/>
      <w:marBottom w:val="0"/>
      <w:divBdr>
        <w:top w:val="none" w:sz="0" w:space="0" w:color="auto"/>
        <w:left w:val="none" w:sz="0" w:space="0" w:color="auto"/>
        <w:bottom w:val="none" w:sz="0" w:space="0" w:color="auto"/>
        <w:right w:val="none" w:sz="0" w:space="0" w:color="auto"/>
      </w:divBdr>
    </w:div>
    <w:div w:id="16065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44;&#1086;&#1082;&#1091;&#1084;&#1077;&#1085;&#1090;&#1099;\&#1086;&#1090;&#1095;&#1077;&#1090;&#1099;%20&#1086;%20&#1088;&#1072;&#1073;&#1086;&#1090;&#1077;%20&#1057;&#1055;\&#1086;&#1090;&#1095;&#1077;&#1090;&#1099;%20&#1079;&#1072;%20&#1075;&#1086;&#1076;\&#1076;&#1080;&#1072;&#1075;&#1088;&#1072;&#1084;&#1084;&#1099;%20&#1082;%20&#1086;&#1090;&#1095;&#1077;&#1090;&#109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4;&#1086;&#1082;&#1091;&#1084;&#1077;&#1085;&#1090;&#1099;\&#1086;&#1090;&#1095;&#1077;&#1090;&#1099;%20&#1086;%20&#1088;&#1072;&#1073;&#1086;&#1090;&#1077;%20&#1057;&#1055;\&#1086;&#1090;&#1095;&#1077;&#1090;&#1099;%20&#1079;&#1072;%20&#1075;&#1086;&#1076;\&#1076;&#1080;&#1072;&#1075;&#1088;&#1072;&#1084;&#1084;&#1099;%20&#1082;%20&#1086;&#1090;&#1095;&#1077;&#1090;&#109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4;&#1086;&#1082;&#1091;&#1084;&#1077;&#1085;&#1090;&#1099;\&#1086;&#1090;&#1095;&#1077;&#1090;&#1099;%20&#1086;%20&#1088;&#1072;&#1073;&#1086;&#1090;&#1077;%20&#1057;&#1055;\&#1086;&#1090;&#1095;&#1077;&#1090;&#1099;%20&#1079;&#1072;%20&#1075;&#1086;&#1076;\&#1076;&#1080;&#1072;&#1075;&#1088;&#1072;&#1084;&#1084;&#1099;%20&#1082;%20&#1086;&#1090;&#1095;&#1077;&#1090;&#109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Динамика количества проведенных мероприятий в 2012-2017 годах </a:t>
            </a:r>
          </a:p>
        </c:rich>
      </c:tx>
      <c:spPr>
        <a:noFill/>
        <a:ln w="25400">
          <a:noFill/>
        </a:ln>
      </c:spPr>
    </c:title>
    <c:view3D>
      <c:depthPercent val="100"/>
      <c:rAngAx val="1"/>
    </c:view3D>
    <c:floor>
      <c:spPr>
        <a:noFill/>
        <a:ln w="3175">
          <a:solidFill>
            <a:srgbClr val="808080"/>
          </a:solidFill>
          <a:prstDash val="solid"/>
        </a:ln>
      </c:spPr>
    </c:floor>
    <c:sideWall>
      <c:spPr>
        <a:noFill/>
        <a:ln w="25400">
          <a:noFill/>
        </a:ln>
      </c:spPr>
    </c:sideWall>
    <c:backWall>
      <c:spPr>
        <a:noFill/>
        <a:ln w="25400">
          <a:noFill/>
        </a:ln>
      </c:spPr>
    </c:backWall>
    <c:plotArea>
      <c:layout/>
      <c:bar3DChart>
        <c:barDir val="col"/>
        <c:grouping val="clustered"/>
        <c:ser>
          <c:idx val="0"/>
          <c:order val="0"/>
          <c:tx>
            <c:strRef>
              <c:f>Лист1!$A$2</c:f>
              <c:strCache>
                <c:ptCount val="1"/>
                <c:pt idx="0">
                  <c:v>контрольные мероприятия,ед</c:v>
                </c:pt>
              </c:strCache>
            </c:strRef>
          </c:tx>
          <c:dLbls>
            <c:spPr>
              <a:noFill/>
              <a:ln w="25400">
                <a:noFill/>
              </a:ln>
            </c:spPr>
            <c:showVal val="1"/>
          </c:dLbls>
          <c:cat>
            <c:numRef>
              <c:f>Лист1!$C$1:$G$1</c:f>
              <c:numCache>
                <c:formatCode>General</c:formatCode>
                <c:ptCount val="5"/>
                <c:pt idx="0">
                  <c:v>2013</c:v>
                </c:pt>
                <c:pt idx="1">
                  <c:v>2014</c:v>
                </c:pt>
                <c:pt idx="2">
                  <c:v>2015</c:v>
                </c:pt>
                <c:pt idx="3">
                  <c:v>2016</c:v>
                </c:pt>
                <c:pt idx="4">
                  <c:v>2017</c:v>
                </c:pt>
              </c:numCache>
            </c:numRef>
          </c:cat>
          <c:val>
            <c:numRef>
              <c:f>Лист1!$C$2:$G$2</c:f>
              <c:numCache>
                <c:formatCode>General</c:formatCode>
                <c:ptCount val="5"/>
                <c:pt idx="0">
                  <c:v>6</c:v>
                </c:pt>
                <c:pt idx="1">
                  <c:v>7</c:v>
                </c:pt>
                <c:pt idx="2">
                  <c:v>4</c:v>
                </c:pt>
                <c:pt idx="3">
                  <c:v>5</c:v>
                </c:pt>
                <c:pt idx="4">
                  <c:v>5</c:v>
                </c:pt>
              </c:numCache>
            </c:numRef>
          </c:val>
        </c:ser>
        <c:ser>
          <c:idx val="1"/>
          <c:order val="1"/>
          <c:tx>
            <c:strRef>
              <c:f>Лист1!$A$3</c:f>
              <c:strCache>
                <c:ptCount val="1"/>
                <c:pt idx="0">
                  <c:v>экспертно- аналитические мероприятия, ед</c:v>
                </c:pt>
              </c:strCache>
            </c:strRef>
          </c:tx>
          <c:dLbls>
            <c:spPr>
              <a:noFill/>
              <a:ln w="25400">
                <a:noFill/>
              </a:ln>
            </c:spPr>
            <c:showVal val="1"/>
          </c:dLbls>
          <c:cat>
            <c:numRef>
              <c:f>Лист1!$C$1:$G$1</c:f>
              <c:numCache>
                <c:formatCode>General</c:formatCode>
                <c:ptCount val="5"/>
                <c:pt idx="0">
                  <c:v>2013</c:v>
                </c:pt>
                <c:pt idx="1">
                  <c:v>2014</c:v>
                </c:pt>
                <c:pt idx="2">
                  <c:v>2015</c:v>
                </c:pt>
                <c:pt idx="3">
                  <c:v>2016</c:v>
                </c:pt>
                <c:pt idx="4">
                  <c:v>2017</c:v>
                </c:pt>
              </c:numCache>
            </c:numRef>
          </c:cat>
          <c:val>
            <c:numRef>
              <c:f>Лист1!$C$3:$G$3</c:f>
              <c:numCache>
                <c:formatCode>General</c:formatCode>
                <c:ptCount val="5"/>
                <c:pt idx="0">
                  <c:v>97</c:v>
                </c:pt>
                <c:pt idx="1">
                  <c:v>111</c:v>
                </c:pt>
                <c:pt idx="2">
                  <c:v>107</c:v>
                </c:pt>
                <c:pt idx="3">
                  <c:v>126</c:v>
                </c:pt>
                <c:pt idx="4">
                  <c:v>160</c:v>
                </c:pt>
              </c:numCache>
            </c:numRef>
          </c:val>
        </c:ser>
        <c:dLbls>
          <c:showVal val="1"/>
        </c:dLbls>
        <c:shape val="cylinder"/>
        <c:axId val="96114560"/>
        <c:axId val="96116096"/>
        <c:axId val="0"/>
      </c:bar3DChart>
      <c:catAx>
        <c:axId val="96114560"/>
        <c:scaling>
          <c:orientation val="minMax"/>
        </c:scaling>
        <c:axPos val="b"/>
        <c:numFmt formatCode="General" sourceLinked="1"/>
        <c:majorTickMark val="none"/>
        <c:tickLblPos val="nextTo"/>
        <c:crossAx val="96116096"/>
        <c:crosses val="autoZero"/>
        <c:auto val="1"/>
        <c:lblAlgn val="ctr"/>
        <c:lblOffset val="100"/>
      </c:catAx>
      <c:valAx>
        <c:axId val="96116096"/>
        <c:scaling>
          <c:orientation val="minMax"/>
        </c:scaling>
        <c:delete val="1"/>
        <c:axPos val="l"/>
        <c:numFmt formatCode="General" sourceLinked="1"/>
        <c:tickLblPos val="none"/>
        <c:crossAx val="96114560"/>
        <c:crosses val="autoZero"/>
        <c:crossBetween val="between"/>
      </c:valAx>
      <c:spPr>
        <a:noFill/>
        <a:ln w="25400">
          <a:noFill/>
        </a:ln>
      </c:spPr>
    </c:plotArea>
    <c:legend>
      <c:legendPos val="t"/>
      <c:spPr>
        <a:noFill/>
        <a:ln w="25400">
          <a:noFill/>
        </a:ln>
      </c:sp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sideWall>
      <c:spPr>
        <a:noFill/>
        <a:ln w="25400">
          <a:noFill/>
        </a:ln>
      </c:spPr>
    </c:sideWall>
    <c:backWall>
      <c:spPr>
        <a:noFill/>
        <a:ln w="25400">
          <a:noFill/>
        </a:ln>
      </c:spPr>
    </c:backWall>
    <c:plotArea>
      <c:layout/>
      <c:bar3DChart>
        <c:barDir val="col"/>
        <c:grouping val="standard"/>
        <c:ser>
          <c:idx val="0"/>
          <c:order val="0"/>
          <c:dLbls>
            <c:showVal val="1"/>
          </c:dLbls>
          <c:cat>
            <c:strRef>
              <c:f>Лист3!$A$2:$A$4</c:f>
              <c:strCache>
                <c:ptCount val="3"/>
                <c:pt idx="0">
                  <c:v> Нарушения ведения бухгалтерского учета, составления и представления бухгалтерской (финансовой) отчетности</c:v>
                </c:pt>
                <c:pt idx="1">
                  <c:v> Нарушения в сфере управления и распоряжения государственной (муниципальной) собственностью</c:v>
                </c:pt>
                <c:pt idx="2">
                  <c:v>Нарушения при осуществлении государственных (муниципальных) закупок и закупок отдельными видами юридических лиц</c:v>
                </c:pt>
              </c:strCache>
            </c:strRef>
          </c:cat>
          <c:val>
            <c:numRef>
              <c:f>Лист3!$B$2:$B$4</c:f>
              <c:numCache>
                <c:formatCode>General</c:formatCode>
                <c:ptCount val="3"/>
                <c:pt idx="0">
                  <c:v>3</c:v>
                </c:pt>
                <c:pt idx="1">
                  <c:v>1</c:v>
                </c:pt>
                <c:pt idx="2">
                  <c:v>6</c:v>
                </c:pt>
              </c:numCache>
            </c:numRef>
          </c:val>
        </c:ser>
        <c:dLbls>
          <c:showVal val="1"/>
        </c:dLbls>
        <c:shape val="cylinder"/>
        <c:axId val="96223232"/>
        <c:axId val="96224768"/>
        <c:axId val="30689920"/>
      </c:bar3DChart>
      <c:catAx>
        <c:axId val="96223232"/>
        <c:scaling>
          <c:orientation val="minMax"/>
        </c:scaling>
        <c:axPos val="b"/>
        <c:numFmt formatCode="General" sourceLinked="1"/>
        <c:majorTickMark val="none"/>
        <c:tickLblPos val="nextTo"/>
        <c:crossAx val="96224768"/>
        <c:crosses val="autoZero"/>
        <c:auto val="1"/>
        <c:lblAlgn val="ctr"/>
        <c:lblOffset val="100"/>
      </c:catAx>
      <c:valAx>
        <c:axId val="96224768"/>
        <c:scaling>
          <c:orientation val="minMax"/>
        </c:scaling>
        <c:delete val="1"/>
        <c:axPos val="l"/>
        <c:numFmt formatCode="General" sourceLinked="1"/>
        <c:tickLblPos val="none"/>
        <c:crossAx val="96223232"/>
        <c:crosses val="autoZero"/>
        <c:crossBetween val="between"/>
      </c:valAx>
      <c:serAx>
        <c:axId val="30689920"/>
        <c:scaling>
          <c:orientation val="minMax"/>
        </c:scaling>
        <c:delete val="1"/>
        <c:axPos val="b"/>
        <c:tickLblPos val="none"/>
        <c:crossAx val="96224768"/>
        <c:crosses val="autoZero"/>
      </c:serAx>
      <c:spPr>
        <a:noFill/>
        <a:ln w="25400">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w="3175">
          <a:solidFill>
            <a:srgbClr val="808080"/>
          </a:solidFill>
          <a:prstDash val="solid"/>
        </a:ln>
      </c:spPr>
    </c:floor>
    <c:sideWall>
      <c:spPr>
        <a:noFill/>
        <a:ln w="25400">
          <a:noFill/>
        </a:ln>
      </c:spPr>
    </c:sideWall>
    <c:backWall>
      <c:spPr>
        <a:noFill/>
        <a:ln w="25400">
          <a:noFill/>
        </a:ln>
      </c:spPr>
    </c:backWall>
    <c:plotArea>
      <c:layout/>
      <c:bar3DChart>
        <c:barDir val="col"/>
        <c:grouping val="clustered"/>
        <c:ser>
          <c:idx val="0"/>
          <c:order val="0"/>
          <c:dLbls>
            <c:dLbl>
              <c:idx val="0"/>
              <c:layout>
                <c:manualLayout>
                  <c:x val="4.4817927170868492E-3"/>
                  <c:y val="-8.333333333333337E-2"/>
                </c:manualLayout>
              </c:layout>
              <c:showVal val="1"/>
            </c:dLbl>
            <c:dLbl>
              <c:idx val="1"/>
              <c:layout>
                <c:manualLayout>
                  <c:x val="1.1204481792717141E-2"/>
                  <c:y val="-5.0925925925925951E-2"/>
                </c:manualLayout>
              </c:layout>
              <c:showVal val="1"/>
            </c:dLbl>
            <c:dLbl>
              <c:idx val="2"/>
              <c:layout>
                <c:manualLayout>
                  <c:x val="8.2165250633272542E-17"/>
                  <c:y val="-8.333333333333337E-2"/>
                </c:manualLayout>
              </c:layout>
              <c:showVal val="1"/>
            </c:dLbl>
            <c:showVal val="1"/>
          </c:dLbls>
          <c:cat>
            <c:numRef>
              <c:f>Лист2!$C$2:$E$2</c:f>
              <c:numCache>
                <c:formatCode>General</c:formatCode>
                <c:ptCount val="3"/>
                <c:pt idx="0">
                  <c:v>2015</c:v>
                </c:pt>
                <c:pt idx="1">
                  <c:v>2016</c:v>
                </c:pt>
                <c:pt idx="2">
                  <c:v>2017</c:v>
                </c:pt>
              </c:numCache>
            </c:numRef>
          </c:cat>
          <c:val>
            <c:numRef>
              <c:f>Лист2!$C$3:$E$3</c:f>
              <c:numCache>
                <c:formatCode>General</c:formatCode>
                <c:ptCount val="3"/>
                <c:pt idx="0">
                  <c:v>226.7</c:v>
                </c:pt>
                <c:pt idx="1">
                  <c:v>915.5</c:v>
                </c:pt>
                <c:pt idx="2">
                  <c:v>644.70000000000005</c:v>
                </c:pt>
              </c:numCache>
            </c:numRef>
          </c:val>
        </c:ser>
        <c:dLbls>
          <c:showVal val="1"/>
        </c:dLbls>
        <c:shape val="cylinder"/>
        <c:axId val="96250112"/>
        <c:axId val="96260096"/>
        <c:axId val="0"/>
      </c:bar3DChart>
      <c:catAx>
        <c:axId val="96250112"/>
        <c:scaling>
          <c:orientation val="minMax"/>
        </c:scaling>
        <c:axPos val="b"/>
        <c:numFmt formatCode="General" sourceLinked="1"/>
        <c:majorTickMark val="none"/>
        <c:tickLblPos val="nextTo"/>
        <c:crossAx val="96260096"/>
        <c:crosses val="autoZero"/>
        <c:auto val="1"/>
        <c:lblAlgn val="ctr"/>
        <c:lblOffset val="100"/>
      </c:catAx>
      <c:valAx>
        <c:axId val="96260096"/>
        <c:scaling>
          <c:orientation val="minMax"/>
        </c:scaling>
        <c:delete val="1"/>
        <c:axPos val="l"/>
        <c:numFmt formatCode="General" sourceLinked="1"/>
        <c:majorTickMark val="none"/>
        <c:tickLblPos val="none"/>
        <c:crossAx val="96250112"/>
        <c:crosses val="autoZero"/>
        <c:crossBetween val="between"/>
      </c:valAx>
      <c:spPr>
        <a:noFill/>
        <a:ln w="25400">
          <a:noFill/>
        </a:ln>
      </c:spPr>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CD988-F12F-46F5-9261-A05A4712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2824</Words>
  <Characters>16099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18886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Irina</cp:lastModifiedBy>
  <cp:revision>2</cp:revision>
  <cp:lastPrinted>2017-12-07T13:14:00Z</cp:lastPrinted>
  <dcterms:created xsi:type="dcterms:W3CDTF">2018-07-12T07:29:00Z</dcterms:created>
  <dcterms:modified xsi:type="dcterms:W3CDTF">2018-07-12T07:29:00Z</dcterms:modified>
</cp:coreProperties>
</file>