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C" w:rsidRDefault="00513B97" w:rsidP="009B29BC">
      <w:pPr>
        <w:jc w:val="center"/>
      </w:pPr>
      <w:r>
        <w:rPr>
          <w:noProof/>
        </w:rPr>
        <w:drawing>
          <wp:inline distT="0" distB="0" distL="0" distR="0">
            <wp:extent cx="436245" cy="723265"/>
            <wp:effectExtent l="19050" t="0" r="1905" b="0"/>
            <wp:docPr id="1"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lvs-m-sch"/>
                    <pic:cNvPicPr>
                      <a:picLocks noChangeAspect="1" noChangeArrowheads="1"/>
                    </pic:cNvPicPr>
                  </pic:nvPicPr>
                  <pic:blipFill>
                    <a:blip r:embed="rId8"/>
                    <a:srcRect/>
                    <a:stretch>
                      <a:fillRect/>
                    </a:stretch>
                  </pic:blipFill>
                  <pic:spPr bwMode="auto">
                    <a:xfrm>
                      <a:off x="0" y="0"/>
                      <a:ext cx="436245" cy="723265"/>
                    </a:xfrm>
                    <a:prstGeom prst="rect">
                      <a:avLst/>
                    </a:prstGeom>
                    <a:noFill/>
                    <a:ln w="9525">
                      <a:noFill/>
                      <a:miter lim="800000"/>
                      <a:headEnd/>
                      <a:tailEnd/>
                    </a:ln>
                  </pic:spPr>
                </pic:pic>
              </a:graphicData>
            </a:graphic>
          </wp:inline>
        </w:drawing>
      </w:r>
    </w:p>
    <w:p w:rsidR="009B29BC" w:rsidRPr="009B29BC" w:rsidRDefault="009B29BC" w:rsidP="009B29BC">
      <w:pPr>
        <w:jc w:val="center"/>
      </w:pPr>
    </w:p>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8850DE" w:rsidRDefault="008850DE">
      <w:pPr>
        <w:jc w:val="center"/>
        <w:rPr>
          <w:b/>
        </w:rPr>
      </w:pPr>
      <w:r>
        <w:rPr>
          <w:b/>
        </w:rPr>
        <w:t>ДУМА МАЛОВИШЕРСКОГО МУНИЦИПАЛЬНОГО РАЙОНА</w:t>
      </w:r>
    </w:p>
    <w:p w:rsidR="008850DE" w:rsidRDefault="008850DE">
      <w:pPr>
        <w:pStyle w:val="3"/>
        <w:rPr>
          <w:sz w:val="28"/>
        </w:rPr>
      </w:pPr>
    </w:p>
    <w:p w:rsidR="008850DE" w:rsidRDefault="008850DE">
      <w:pPr>
        <w:jc w:val="center"/>
      </w:pPr>
      <w:r>
        <w:t>Р Е Ш Е Н И Е</w:t>
      </w:r>
    </w:p>
    <w:p w:rsidR="008850DE" w:rsidRDefault="008850DE">
      <w:pPr>
        <w:jc w:val="center"/>
      </w:pPr>
    </w:p>
    <w:tbl>
      <w:tblPr>
        <w:tblW w:w="0" w:type="auto"/>
        <w:tblLayout w:type="fixed"/>
        <w:tblLook w:val="0000"/>
      </w:tblPr>
      <w:tblGrid>
        <w:gridCol w:w="4361"/>
      </w:tblGrid>
      <w:tr w:rsidR="008850DE" w:rsidRPr="00452258" w:rsidTr="00E24125">
        <w:tc>
          <w:tcPr>
            <w:tcW w:w="4361" w:type="dxa"/>
          </w:tcPr>
          <w:p w:rsidR="008850DE" w:rsidRPr="00DA7708" w:rsidRDefault="00AF2B6D" w:rsidP="00AF2B6D">
            <w:pPr>
              <w:spacing w:line="240" w:lineRule="exact"/>
              <w:jc w:val="both"/>
              <w:rPr>
                <w:b/>
                <w:bCs/>
                <w:sz w:val="24"/>
              </w:rPr>
            </w:pPr>
            <w:r w:rsidRPr="004C35BC">
              <w:rPr>
                <w:b/>
              </w:rPr>
              <w:t>О</w:t>
            </w:r>
            <w:r>
              <w:rPr>
                <w:b/>
              </w:rPr>
              <w:t>б утверждении</w:t>
            </w:r>
            <w:r w:rsidRPr="004C35BC">
              <w:rPr>
                <w:b/>
              </w:rPr>
              <w:t xml:space="preserve"> </w:t>
            </w:r>
            <w:r>
              <w:rPr>
                <w:b/>
              </w:rPr>
              <w:t>ежегодного о</w:t>
            </w:r>
            <w:r>
              <w:rPr>
                <w:b/>
              </w:rPr>
              <w:t>т</w:t>
            </w:r>
            <w:r>
              <w:rPr>
                <w:b/>
              </w:rPr>
              <w:t>чета о деятельности Счётной палаты Маловишерского мун</w:t>
            </w:r>
            <w:r>
              <w:rPr>
                <w:b/>
              </w:rPr>
              <w:t>и</w:t>
            </w:r>
            <w:r>
              <w:rPr>
                <w:b/>
              </w:rPr>
              <w:t>ципального района, результатах проведенных контрольных и экспертно-аналитических м</w:t>
            </w:r>
            <w:r>
              <w:rPr>
                <w:b/>
              </w:rPr>
              <w:t>е</w:t>
            </w:r>
            <w:r>
              <w:rPr>
                <w:b/>
              </w:rPr>
              <w:t>роприятий в 2018 году</w:t>
            </w:r>
          </w:p>
        </w:tc>
      </w:tr>
    </w:tbl>
    <w:p w:rsidR="008850DE" w:rsidRDefault="008850DE">
      <w:pPr>
        <w:jc w:val="center"/>
      </w:pPr>
    </w:p>
    <w:p w:rsidR="00197216" w:rsidRPr="002F727A" w:rsidRDefault="00197216" w:rsidP="00197216">
      <w:pPr>
        <w:jc w:val="center"/>
        <w:rPr>
          <w:sz w:val="24"/>
        </w:rPr>
      </w:pPr>
      <w:r w:rsidRPr="002F727A">
        <w:rPr>
          <w:sz w:val="24"/>
        </w:rPr>
        <w:t xml:space="preserve">Принято Думой Маловишерского муниципального района </w:t>
      </w:r>
      <w:r w:rsidR="00F8489F">
        <w:rPr>
          <w:sz w:val="24"/>
        </w:rPr>
        <w:t>27</w:t>
      </w:r>
      <w:r w:rsidR="002F727A" w:rsidRPr="002F727A">
        <w:rPr>
          <w:sz w:val="24"/>
        </w:rPr>
        <w:t xml:space="preserve"> </w:t>
      </w:r>
      <w:r w:rsidR="00DA7708">
        <w:rPr>
          <w:sz w:val="24"/>
        </w:rPr>
        <w:t xml:space="preserve">декабря </w:t>
      </w:r>
      <w:r w:rsidRPr="002F727A">
        <w:rPr>
          <w:sz w:val="24"/>
        </w:rPr>
        <w:t>201</w:t>
      </w:r>
      <w:r w:rsidR="00800E1E" w:rsidRPr="002F727A">
        <w:rPr>
          <w:sz w:val="24"/>
        </w:rPr>
        <w:t>8</w:t>
      </w:r>
      <w:r w:rsidRPr="002F727A">
        <w:rPr>
          <w:sz w:val="24"/>
        </w:rPr>
        <w:t xml:space="preserve"> года</w:t>
      </w:r>
    </w:p>
    <w:p w:rsidR="00255D5D" w:rsidRPr="002F727A" w:rsidRDefault="00255D5D" w:rsidP="00255D5D">
      <w:pPr>
        <w:ind w:firstLine="708"/>
        <w:jc w:val="both"/>
        <w:rPr>
          <w:color w:val="000000"/>
          <w:sz w:val="24"/>
          <w:shd w:val="clear" w:color="auto" w:fill="FFFFFF"/>
        </w:rPr>
      </w:pPr>
    </w:p>
    <w:p w:rsidR="00AF2B6D" w:rsidRPr="00916FA4" w:rsidRDefault="00AF2B6D" w:rsidP="00AF2B6D">
      <w:pPr>
        <w:ind w:firstLine="708"/>
        <w:jc w:val="both"/>
        <w:rPr>
          <w:szCs w:val="28"/>
        </w:rPr>
      </w:pPr>
      <w:r w:rsidRPr="00916FA4">
        <w:rPr>
          <w:szCs w:val="28"/>
        </w:rPr>
        <w:t>В соответствии с</w:t>
      </w:r>
      <w:r>
        <w:rPr>
          <w:szCs w:val="28"/>
        </w:rPr>
        <w:t xml:space="preserve"> частью 2 статьи 19 Ф</w:t>
      </w:r>
      <w:r w:rsidRPr="00916FA4">
        <w:rPr>
          <w:szCs w:val="28"/>
        </w:rPr>
        <w:t>едеральн</w:t>
      </w:r>
      <w:r>
        <w:rPr>
          <w:szCs w:val="28"/>
        </w:rPr>
        <w:t>ого</w:t>
      </w:r>
      <w:r w:rsidRPr="00916FA4">
        <w:rPr>
          <w:szCs w:val="28"/>
        </w:rPr>
        <w:t xml:space="preserve"> закона от </w:t>
      </w:r>
      <w:r>
        <w:rPr>
          <w:szCs w:val="28"/>
        </w:rPr>
        <w:t>07</w:t>
      </w:r>
      <w:r w:rsidRPr="00916FA4">
        <w:rPr>
          <w:szCs w:val="28"/>
        </w:rPr>
        <w:t xml:space="preserve"> </w:t>
      </w:r>
      <w:r>
        <w:rPr>
          <w:szCs w:val="28"/>
        </w:rPr>
        <w:t>февраля</w:t>
      </w:r>
      <w:r w:rsidRPr="00916FA4">
        <w:rPr>
          <w:szCs w:val="28"/>
        </w:rPr>
        <w:t xml:space="preserve"> 20</w:t>
      </w:r>
      <w:r>
        <w:rPr>
          <w:szCs w:val="28"/>
        </w:rPr>
        <w:t>11</w:t>
      </w:r>
      <w:r w:rsidRPr="00916FA4">
        <w:rPr>
          <w:szCs w:val="28"/>
        </w:rPr>
        <w:t xml:space="preserve"> года №</w:t>
      </w:r>
      <w:r>
        <w:rPr>
          <w:szCs w:val="28"/>
        </w:rPr>
        <w:t>6</w:t>
      </w:r>
      <w:r w:rsidRPr="00916FA4">
        <w:rPr>
          <w:szCs w:val="28"/>
        </w:rPr>
        <w:t xml:space="preserve">-ФЗ «Об общих принципах организации </w:t>
      </w:r>
      <w:r>
        <w:rPr>
          <w:szCs w:val="28"/>
        </w:rPr>
        <w:t>и деятельности ко</w:t>
      </w:r>
      <w:r>
        <w:rPr>
          <w:szCs w:val="28"/>
        </w:rPr>
        <w:t>н</w:t>
      </w:r>
      <w:r>
        <w:rPr>
          <w:szCs w:val="28"/>
        </w:rPr>
        <w:t>трольно- счетных органов субъектов Российской Федерации и муниципальных образований», абзацем 10 подпункта 4.2.1 Положения о Счетной палате Маловишерского муниципального района, утвержденного решением Думы Малов</w:t>
      </w:r>
      <w:r>
        <w:rPr>
          <w:szCs w:val="28"/>
        </w:rPr>
        <w:t>и</w:t>
      </w:r>
      <w:r>
        <w:rPr>
          <w:szCs w:val="28"/>
        </w:rPr>
        <w:t>шерского муниципального района от 30.01.2012 №129</w:t>
      </w:r>
      <w:r w:rsidRPr="00916FA4">
        <w:rPr>
          <w:szCs w:val="28"/>
        </w:rPr>
        <w:t xml:space="preserve">,  </w:t>
      </w:r>
    </w:p>
    <w:p w:rsidR="00AF2B6D" w:rsidRPr="00916FA4" w:rsidRDefault="00AF2B6D" w:rsidP="00AF2B6D">
      <w:pPr>
        <w:ind w:firstLine="708"/>
        <w:jc w:val="both"/>
        <w:rPr>
          <w:szCs w:val="28"/>
        </w:rPr>
      </w:pPr>
      <w:r w:rsidRPr="00916FA4">
        <w:rPr>
          <w:szCs w:val="28"/>
        </w:rPr>
        <w:t>Дума Маловишерского мун</w:t>
      </w:r>
      <w:r w:rsidRPr="00916FA4">
        <w:rPr>
          <w:szCs w:val="28"/>
        </w:rPr>
        <w:t>и</w:t>
      </w:r>
      <w:r w:rsidRPr="00916FA4">
        <w:rPr>
          <w:szCs w:val="28"/>
        </w:rPr>
        <w:t>ципального района</w:t>
      </w:r>
    </w:p>
    <w:p w:rsidR="00AF2B6D" w:rsidRPr="00C172D0" w:rsidRDefault="00AF2B6D" w:rsidP="00AF2B6D">
      <w:pPr>
        <w:pStyle w:val="a3"/>
        <w:rPr>
          <w:b/>
          <w:bCs/>
          <w:sz w:val="27"/>
          <w:szCs w:val="27"/>
        </w:rPr>
      </w:pPr>
      <w:r w:rsidRPr="00C172D0">
        <w:rPr>
          <w:b/>
          <w:bCs/>
          <w:sz w:val="27"/>
          <w:szCs w:val="27"/>
        </w:rPr>
        <w:t>РЕШИЛА:</w:t>
      </w:r>
    </w:p>
    <w:p w:rsidR="00AF2B6D" w:rsidRPr="00C172D0" w:rsidRDefault="00AF2B6D" w:rsidP="00AF2B6D">
      <w:pPr>
        <w:pStyle w:val="a3"/>
        <w:ind w:firstLine="708"/>
        <w:rPr>
          <w:sz w:val="27"/>
          <w:szCs w:val="27"/>
        </w:rPr>
      </w:pPr>
    </w:p>
    <w:p w:rsidR="00AF2B6D" w:rsidRDefault="00AF2B6D" w:rsidP="00AF2B6D">
      <w:pPr>
        <w:ind w:firstLine="600"/>
        <w:jc w:val="both"/>
      </w:pPr>
      <w:r>
        <w:t>1. Утвердить прилагаемый ежегодный отчет о деятельности Счётной пал</w:t>
      </w:r>
      <w:r>
        <w:t>а</w:t>
      </w:r>
      <w:r>
        <w:t>ты Маловишерского муниципального района, результатах проведенных ко</w:t>
      </w:r>
      <w:r>
        <w:t>н</w:t>
      </w:r>
      <w:r>
        <w:t>трольных и экспертно-аналитических мероприятий в 2018 году.</w:t>
      </w:r>
    </w:p>
    <w:p w:rsidR="00AF2B6D" w:rsidRPr="00C172D0" w:rsidRDefault="00AF2B6D" w:rsidP="00AF2B6D">
      <w:pPr>
        <w:ind w:firstLine="709"/>
        <w:jc w:val="both"/>
        <w:rPr>
          <w:sz w:val="27"/>
          <w:szCs w:val="27"/>
        </w:rPr>
      </w:pPr>
      <w:r>
        <w:t>2. Опубликовать решение в бюллетене «Возрождение».</w:t>
      </w:r>
    </w:p>
    <w:p w:rsidR="0059433E" w:rsidRPr="00D11C61" w:rsidRDefault="0059433E" w:rsidP="006C5A82">
      <w:pPr>
        <w:ind w:firstLine="709"/>
        <w:jc w:val="both"/>
        <w:rPr>
          <w:szCs w:val="28"/>
        </w:rPr>
      </w:pPr>
    </w:p>
    <w:p w:rsidR="00F8489F" w:rsidRPr="00E54094" w:rsidRDefault="00F8489F" w:rsidP="006C5A82">
      <w:pPr>
        <w:ind w:firstLine="709"/>
        <w:jc w:val="both"/>
        <w:rPr>
          <w:szCs w:val="28"/>
        </w:rPr>
      </w:pPr>
    </w:p>
    <w:p w:rsidR="00303D98" w:rsidRPr="000D11DC" w:rsidRDefault="00303D98" w:rsidP="00C0584B">
      <w:pPr>
        <w:pStyle w:val="a3"/>
        <w:spacing w:line="240" w:lineRule="exact"/>
        <w:rPr>
          <w:szCs w:val="28"/>
        </w:rPr>
      </w:pPr>
    </w:p>
    <w:p w:rsidR="00BA22BA" w:rsidRPr="002F582F" w:rsidRDefault="00BA22BA" w:rsidP="00BA22BA">
      <w:pPr>
        <w:pStyle w:val="a3"/>
        <w:spacing w:line="240" w:lineRule="exact"/>
        <w:rPr>
          <w:b/>
          <w:szCs w:val="28"/>
        </w:rPr>
      </w:pPr>
      <w:r w:rsidRPr="002F582F">
        <w:rPr>
          <w:b/>
          <w:szCs w:val="28"/>
        </w:rPr>
        <w:t xml:space="preserve">Председатель Думы </w:t>
      </w:r>
    </w:p>
    <w:p w:rsidR="00BA22BA" w:rsidRPr="002F582F" w:rsidRDefault="00BA22BA" w:rsidP="00BA22BA">
      <w:pPr>
        <w:pStyle w:val="a3"/>
        <w:spacing w:line="240" w:lineRule="exact"/>
        <w:rPr>
          <w:b/>
          <w:szCs w:val="28"/>
        </w:rPr>
      </w:pPr>
      <w:r w:rsidRPr="002F582F">
        <w:rPr>
          <w:b/>
          <w:szCs w:val="28"/>
        </w:rPr>
        <w:t xml:space="preserve">муниципального района </w:t>
      </w:r>
      <w:r w:rsidRPr="002F582F">
        <w:rPr>
          <w:b/>
          <w:szCs w:val="28"/>
        </w:rPr>
        <w:tab/>
        <w:t xml:space="preserve"> Г.Г. Жукова </w:t>
      </w:r>
    </w:p>
    <w:p w:rsidR="00BA22BA" w:rsidRPr="002F582F" w:rsidRDefault="00BA22BA" w:rsidP="00BA22BA">
      <w:pPr>
        <w:pStyle w:val="a3"/>
        <w:spacing w:line="240" w:lineRule="exact"/>
        <w:rPr>
          <w:b/>
          <w:szCs w:val="28"/>
        </w:rPr>
      </w:pPr>
    </w:p>
    <w:p w:rsidR="00BA22BA" w:rsidRPr="002F582F" w:rsidRDefault="00BA22BA" w:rsidP="00BA22BA">
      <w:pPr>
        <w:pStyle w:val="a3"/>
        <w:spacing w:line="240" w:lineRule="exact"/>
        <w:rPr>
          <w:b/>
          <w:szCs w:val="28"/>
        </w:rPr>
      </w:pPr>
    </w:p>
    <w:p w:rsidR="00DA7708" w:rsidRPr="002F582F" w:rsidRDefault="00DA7708" w:rsidP="00DA7708">
      <w:pPr>
        <w:spacing w:line="240" w:lineRule="exact"/>
        <w:jc w:val="both"/>
        <w:rPr>
          <w:b/>
          <w:szCs w:val="28"/>
        </w:rPr>
      </w:pPr>
      <w:r w:rsidRPr="002F582F">
        <w:rPr>
          <w:b/>
          <w:szCs w:val="28"/>
        </w:rPr>
        <w:t xml:space="preserve">Глава муниципального района </w:t>
      </w:r>
      <w:r w:rsidRPr="002F582F">
        <w:rPr>
          <w:b/>
          <w:szCs w:val="28"/>
        </w:rPr>
        <w:tab/>
        <w:t xml:space="preserve"> Н.А. Маслов</w:t>
      </w:r>
    </w:p>
    <w:p w:rsidR="00DE7AEF" w:rsidRPr="002F582F" w:rsidRDefault="00DE7AEF" w:rsidP="00F31241">
      <w:pPr>
        <w:spacing w:line="240" w:lineRule="exact"/>
        <w:jc w:val="both"/>
        <w:rPr>
          <w:b/>
          <w:szCs w:val="28"/>
        </w:rPr>
      </w:pPr>
    </w:p>
    <w:p w:rsidR="00195766" w:rsidRPr="002F582F" w:rsidRDefault="00195766" w:rsidP="00F31241">
      <w:pPr>
        <w:spacing w:line="240" w:lineRule="exact"/>
        <w:jc w:val="both"/>
        <w:rPr>
          <w:b/>
          <w:szCs w:val="28"/>
        </w:rPr>
      </w:pPr>
    </w:p>
    <w:p w:rsidR="00195766" w:rsidRPr="002F582F" w:rsidRDefault="00195766" w:rsidP="00F31241">
      <w:pPr>
        <w:spacing w:line="240" w:lineRule="exact"/>
        <w:jc w:val="both"/>
        <w:rPr>
          <w:b/>
          <w:szCs w:val="28"/>
        </w:rPr>
      </w:pPr>
    </w:p>
    <w:p w:rsidR="00000FD2" w:rsidRPr="002F582F" w:rsidRDefault="00F8489F" w:rsidP="00F31241">
      <w:pPr>
        <w:spacing w:line="240" w:lineRule="exact"/>
        <w:jc w:val="both"/>
        <w:rPr>
          <w:szCs w:val="28"/>
        </w:rPr>
      </w:pPr>
      <w:r>
        <w:rPr>
          <w:szCs w:val="28"/>
        </w:rPr>
        <w:t>27</w:t>
      </w:r>
      <w:r w:rsidR="00000FD2" w:rsidRPr="002F582F">
        <w:rPr>
          <w:szCs w:val="28"/>
        </w:rPr>
        <w:t xml:space="preserve"> </w:t>
      </w:r>
      <w:r w:rsidR="00DA7708" w:rsidRPr="002F582F">
        <w:rPr>
          <w:szCs w:val="28"/>
        </w:rPr>
        <w:t>декабря</w:t>
      </w:r>
      <w:r w:rsidR="00000FD2" w:rsidRPr="002F582F">
        <w:rPr>
          <w:szCs w:val="28"/>
        </w:rPr>
        <w:t xml:space="preserve"> 201</w:t>
      </w:r>
      <w:r w:rsidR="00800E1E" w:rsidRPr="002F582F">
        <w:rPr>
          <w:szCs w:val="28"/>
        </w:rPr>
        <w:t>8</w:t>
      </w:r>
      <w:r w:rsidR="00000FD2" w:rsidRPr="002F582F">
        <w:rPr>
          <w:szCs w:val="28"/>
        </w:rPr>
        <w:t xml:space="preserve"> года</w:t>
      </w:r>
    </w:p>
    <w:p w:rsidR="00000FD2" w:rsidRPr="002F582F" w:rsidRDefault="00000FD2" w:rsidP="00F31241">
      <w:pPr>
        <w:spacing w:line="240" w:lineRule="exact"/>
        <w:jc w:val="both"/>
        <w:rPr>
          <w:szCs w:val="28"/>
        </w:rPr>
      </w:pPr>
      <w:r w:rsidRPr="002F582F">
        <w:rPr>
          <w:szCs w:val="28"/>
        </w:rPr>
        <w:t xml:space="preserve">№ </w:t>
      </w:r>
      <w:r w:rsidR="006859A8">
        <w:rPr>
          <w:szCs w:val="28"/>
        </w:rPr>
        <w:t>30</w:t>
      </w:r>
      <w:r w:rsidR="00AF2B6D">
        <w:rPr>
          <w:szCs w:val="28"/>
        </w:rPr>
        <w:t>4</w:t>
      </w:r>
    </w:p>
    <w:p w:rsidR="00992F7B" w:rsidRPr="002F582F" w:rsidRDefault="00000FD2" w:rsidP="00D907DD">
      <w:pPr>
        <w:spacing w:line="240" w:lineRule="exact"/>
        <w:rPr>
          <w:szCs w:val="28"/>
        </w:rPr>
      </w:pPr>
      <w:r w:rsidRPr="002F582F">
        <w:rPr>
          <w:szCs w:val="28"/>
        </w:rPr>
        <w:t>Малая Вишера</w:t>
      </w:r>
      <w:bookmarkStart w:id="0" w:name="Par24"/>
      <w:bookmarkEnd w:id="0"/>
      <w:r w:rsidR="00C0584B" w:rsidRPr="002F582F">
        <w:rPr>
          <w:szCs w:val="28"/>
        </w:rPr>
        <w:t xml:space="preserve"> </w:t>
      </w:r>
    </w:p>
    <w:p w:rsidR="00195766" w:rsidRPr="00622A02" w:rsidRDefault="00195766" w:rsidP="00D907DD">
      <w:pPr>
        <w:spacing w:line="240" w:lineRule="exact"/>
        <w:rPr>
          <w:szCs w:val="28"/>
        </w:rPr>
      </w:pPr>
    </w:p>
    <w:p w:rsidR="00D11C61" w:rsidRDefault="00D11C61" w:rsidP="00223ADE">
      <w:pPr>
        <w:pStyle w:val="a3"/>
        <w:spacing w:line="240" w:lineRule="exact"/>
        <w:jc w:val="center"/>
        <w:rPr>
          <w:szCs w:val="28"/>
        </w:rPr>
        <w:sectPr w:rsidR="00D11C61" w:rsidSect="00132834">
          <w:headerReference w:type="default" r:id="rId9"/>
          <w:pgSz w:w="11906" w:h="16838"/>
          <w:pgMar w:top="675" w:right="567" w:bottom="1134" w:left="1418" w:header="284" w:footer="709" w:gutter="0"/>
          <w:pgNumType w:start="1"/>
          <w:cols w:space="708"/>
          <w:titlePg/>
          <w:docGrid w:linePitch="381"/>
        </w:sectPr>
      </w:pPr>
    </w:p>
    <w:tbl>
      <w:tblPr>
        <w:tblW w:w="0" w:type="auto"/>
        <w:jc w:val="right"/>
        <w:tblInd w:w="5354" w:type="dxa"/>
        <w:tblLook w:val="04A0"/>
      </w:tblPr>
      <w:tblGrid>
        <w:gridCol w:w="4500"/>
      </w:tblGrid>
      <w:tr w:rsidR="00D11C61" w:rsidRPr="00D11C61" w:rsidTr="00D11C61">
        <w:trPr>
          <w:jc w:val="right"/>
        </w:trPr>
        <w:tc>
          <w:tcPr>
            <w:tcW w:w="4500" w:type="dxa"/>
          </w:tcPr>
          <w:p w:rsidR="00D11C61" w:rsidRPr="00D11C61" w:rsidRDefault="00D11C61" w:rsidP="005F7627">
            <w:pPr>
              <w:jc w:val="center"/>
              <w:rPr>
                <w:szCs w:val="28"/>
              </w:rPr>
            </w:pPr>
            <w:r w:rsidRPr="00D11C61">
              <w:rPr>
                <w:szCs w:val="28"/>
              </w:rPr>
              <w:lastRenderedPageBreak/>
              <w:t>Утвержден</w:t>
            </w:r>
          </w:p>
        </w:tc>
      </w:tr>
      <w:tr w:rsidR="00D11C61" w:rsidRPr="00D11C61" w:rsidTr="00D11C61">
        <w:trPr>
          <w:jc w:val="right"/>
        </w:trPr>
        <w:tc>
          <w:tcPr>
            <w:tcW w:w="4500" w:type="dxa"/>
          </w:tcPr>
          <w:p w:rsidR="00D11C61" w:rsidRPr="00D11C61" w:rsidRDefault="00D11C61" w:rsidP="005F7627">
            <w:pPr>
              <w:spacing w:line="240" w:lineRule="exact"/>
              <w:jc w:val="center"/>
              <w:rPr>
                <w:szCs w:val="28"/>
              </w:rPr>
            </w:pPr>
            <w:r w:rsidRPr="00D11C61">
              <w:rPr>
                <w:szCs w:val="28"/>
              </w:rPr>
              <w:t>решением Думы Маловише</w:t>
            </w:r>
            <w:r w:rsidRPr="00D11C61">
              <w:rPr>
                <w:szCs w:val="28"/>
              </w:rPr>
              <w:t>р</w:t>
            </w:r>
            <w:r w:rsidRPr="00D11C61">
              <w:rPr>
                <w:szCs w:val="28"/>
              </w:rPr>
              <w:t>ского муниципального района</w:t>
            </w:r>
          </w:p>
          <w:p w:rsidR="00D11C61" w:rsidRPr="00D11C61" w:rsidRDefault="00D11C61" w:rsidP="00AF2B6D">
            <w:pPr>
              <w:spacing w:line="240" w:lineRule="exact"/>
              <w:jc w:val="center"/>
              <w:rPr>
                <w:szCs w:val="28"/>
              </w:rPr>
            </w:pPr>
            <w:r w:rsidRPr="00D11C61">
              <w:rPr>
                <w:szCs w:val="28"/>
              </w:rPr>
              <w:t>от 27.12.2018 №30</w:t>
            </w:r>
            <w:r w:rsidR="00AF2B6D">
              <w:rPr>
                <w:szCs w:val="28"/>
              </w:rPr>
              <w:t>4</w:t>
            </w:r>
          </w:p>
        </w:tc>
      </w:tr>
    </w:tbl>
    <w:p w:rsidR="00D11C61" w:rsidRDefault="00D11C61" w:rsidP="00D11C61">
      <w:pPr>
        <w:jc w:val="right"/>
      </w:pPr>
    </w:p>
    <w:p w:rsidR="00AF2B6D" w:rsidRPr="00AF2B6D" w:rsidRDefault="00AF2B6D" w:rsidP="00AF2B6D">
      <w:pPr>
        <w:pStyle w:val="af"/>
        <w:spacing w:before="0" w:beforeAutospacing="0" w:after="0" w:afterAutospacing="0"/>
        <w:jc w:val="center"/>
        <w:rPr>
          <w:rFonts w:ascii="Times New Roman" w:hAnsi="Times New Roman"/>
          <w:b/>
          <w:bCs/>
          <w:sz w:val="28"/>
          <w:szCs w:val="28"/>
        </w:rPr>
      </w:pPr>
      <w:r w:rsidRPr="00AF2B6D">
        <w:rPr>
          <w:rFonts w:ascii="Times New Roman" w:hAnsi="Times New Roman"/>
          <w:b/>
          <w:bCs/>
          <w:sz w:val="28"/>
          <w:szCs w:val="28"/>
        </w:rPr>
        <w:t xml:space="preserve">Ежегодный отчет о деятельности </w:t>
      </w:r>
    </w:p>
    <w:p w:rsidR="00AF2B6D" w:rsidRPr="00AF2B6D" w:rsidRDefault="00AF2B6D" w:rsidP="00AF2B6D">
      <w:pPr>
        <w:pStyle w:val="af"/>
        <w:spacing w:before="0" w:beforeAutospacing="0" w:after="0" w:afterAutospacing="0"/>
        <w:jc w:val="center"/>
        <w:rPr>
          <w:rFonts w:ascii="Times New Roman" w:hAnsi="Times New Roman"/>
          <w:b/>
          <w:bCs/>
          <w:sz w:val="28"/>
          <w:szCs w:val="28"/>
        </w:rPr>
      </w:pPr>
      <w:r w:rsidRPr="00AF2B6D">
        <w:rPr>
          <w:rFonts w:ascii="Times New Roman" w:hAnsi="Times New Roman"/>
          <w:b/>
          <w:bCs/>
          <w:sz w:val="28"/>
          <w:szCs w:val="28"/>
        </w:rPr>
        <w:t xml:space="preserve">Счётной палаты Маловишерского муниципального района,  </w:t>
      </w:r>
    </w:p>
    <w:p w:rsidR="00AF2B6D" w:rsidRPr="00AF2B6D" w:rsidRDefault="00AF2B6D" w:rsidP="00AF2B6D">
      <w:pPr>
        <w:pStyle w:val="af"/>
        <w:spacing w:before="0" w:beforeAutospacing="0" w:after="0" w:afterAutospacing="0"/>
        <w:jc w:val="center"/>
        <w:rPr>
          <w:rFonts w:ascii="Times New Roman" w:hAnsi="Times New Roman"/>
          <w:b/>
          <w:bCs/>
          <w:sz w:val="28"/>
          <w:szCs w:val="28"/>
        </w:rPr>
      </w:pPr>
      <w:r w:rsidRPr="00AF2B6D">
        <w:rPr>
          <w:rFonts w:ascii="Times New Roman" w:hAnsi="Times New Roman"/>
          <w:b/>
          <w:bCs/>
          <w:sz w:val="28"/>
          <w:szCs w:val="28"/>
        </w:rPr>
        <w:t>результатах проведенных контрольных и экспертно- аналитических м</w:t>
      </w:r>
      <w:r w:rsidRPr="00AF2B6D">
        <w:rPr>
          <w:rFonts w:ascii="Times New Roman" w:hAnsi="Times New Roman"/>
          <w:b/>
          <w:bCs/>
          <w:sz w:val="28"/>
          <w:szCs w:val="28"/>
        </w:rPr>
        <w:t>е</w:t>
      </w:r>
      <w:r w:rsidRPr="00AF2B6D">
        <w:rPr>
          <w:rFonts w:ascii="Times New Roman" w:hAnsi="Times New Roman"/>
          <w:b/>
          <w:bCs/>
          <w:sz w:val="28"/>
          <w:szCs w:val="28"/>
        </w:rPr>
        <w:t>роприятий в 2018 году</w:t>
      </w:r>
    </w:p>
    <w:p w:rsidR="00AF2B6D" w:rsidRPr="00AF2B6D" w:rsidRDefault="00AF2B6D" w:rsidP="00AF2B6D">
      <w:pPr>
        <w:pStyle w:val="af"/>
        <w:spacing w:before="0" w:beforeAutospacing="0" w:after="0" w:afterAutospacing="0"/>
        <w:jc w:val="center"/>
        <w:rPr>
          <w:rFonts w:ascii="Times New Roman" w:hAnsi="Times New Roman"/>
          <w:b/>
          <w:bCs/>
          <w:sz w:val="28"/>
          <w:szCs w:val="28"/>
        </w:rPr>
      </w:pPr>
    </w:p>
    <w:p w:rsidR="00AF2B6D" w:rsidRPr="00AF2B6D" w:rsidRDefault="00AF2B6D" w:rsidP="00AF2B6D">
      <w:pPr>
        <w:pStyle w:val="af"/>
        <w:spacing w:before="0" w:beforeAutospacing="0" w:after="0" w:afterAutospacing="0"/>
        <w:ind w:firstLine="709"/>
        <w:jc w:val="both"/>
        <w:rPr>
          <w:rStyle w:val="af3"/>
          <w:rFonts w:ascii="Times New Roman" w:hAnsi="Times New Roman"/>
          <w:b w:val="0"/>
          <w:sz w:val="28"/>
          <w:szCs w:val="28"/>
        </w:rPr>
      </w:pPr>
      <w:r w:rsidRPr="00AF2B6D">
        <w:rPr>
          <w:rFonts w:ascii="Times New Roman" w:hAnsi="Times New Roman"/>
          <w:bCs/>
          <w:sz w:val="28"/>
          <w:szCs w:val="28"/>
        </w:rPr>
        <w:t>Ежегодный отчет о деятельности Счётной палаты Маловишерского м</w:t>
      </w:r>
      <w:r w:rsidRPr="00AF2B6D">
        <w:rPr>
          <w:rFonts w:ascii="Times New Roman" w:hAnsi="Times New Roman"/>
          <w:bCs/>
          <w:sz w:val="28"/>
          <w:szCs w:val="28"/>
        </w:rPr>
        <w:t>у</w:t>
      </w:r>
      <w:r w:rsidRPr="00AF2B6D">
        <w:rPr>
          <w:rFonts w:ascii="Times New Roman" w:hAnsi="Times New Roman"/>
          <w:bCs/>
          <w:sz w:val="28"/>
          <w:szCs w:val="28"/>
        </w:rPr>
        <w:t xml:space="preserve">ниципального района, результатах проведенных контрольных и экспертно- аналитических мероприятий в 2017 году </w:t>
      </w:r>
      <w:r w:rsidRPr="00AF2B6D">
        <w:rPr>
          <w:rFonts w:ascii="Times New Roman" w:hAnsi="Times New Roman"/>
          <w:sz w:val="28"/>
          <w:szCs w:val="28"/>
        </w:rPr>
        <w:t>(далее – Отчет) подготовлен в соответствии с требованиями пункта 4.2 Положения о Счётной палате Малов</w:t>
      </w:r>
      <w:r w:rsidRPr="00AF2B6D">
        <w:rPr>
          <w:rFonts w:ascii="Times New Roman" w:hAnsi="Times New Roman"/>
          <w:sz w:val="28"/>
          <w:szCs w:val="28"/>
        </w:rPr>
        <w:t>и</w:t>
      </w:r>
      <w:r w:rsidRPr="00AF2B6D">
        <w:rPr>
          <w:rFonts w:ascii="Times New Roman" w:hAnsi="Times New Roman"/>
          <w:sz w:val="28"/>
          <w:szCs w:val="28"/>
        </w:rPr>
        <w:t>шерского муниципального района, утвержденного Решением Думы Маловишерского муниципального района от 31.01.2012 №129 и отражает обобща</w:t>
      </w:r>
      <w:r w:rsidRPr="00AF2B6D">
        <w:rPr>
          <w:rFonts w:ascii="Times New Roman" w:hAnsi="Times New Roman"/>
          <w:sz w:val="28"/>
          <w:szCs w:val="28"/>
        </w:rPr>
        <w:t>ю</w:t>
      </w:r>
      <w:r w:rsidRPr="00AF2B6D">
        <w:rPr>
          <w:rFonts w:ascii="Times New Roman" w:hAnsi="Times New Roman"/>
          <w:sz w:val="28"/>
          <w:szCs w:val="28"/>
        </w:rPr>
        <w:t>щие сведения о результатах деятельности Счётной палаты муниципального района в 2018 году.</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Style w:val="af3"/>
          <w:rFonts w:ascii="Times New Roman" w:hAnsi="Times New Roman"/>
          <w:sz w:val="28"/>
          <w:szCs w:val="28"/>
        </w:rPr>
        <w:t>Основные итоги деятельности</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Организация и деятельность Счётной палаты Маловишерского муниц</w:t>
      </w:r>
      <w:r w:rsidRPr="00AF2B6D">
        <w:rPr>
          <w:rFonts w:ascii="Times New Roman" w:hAnsi="Times New Roman"/>
          <w:sz w:val="28"/>
          <w:szCs w:val="28"/>
        </w:rPr>
        <w:t>и</w:t>
      </w:r>
      <w:r w:rsidRPr="00AF2B6D">
        <w:rPr>
          <w:rFonts w:ascii="Times New Roman" w:hAnsi="Times New Roman"/>
          <w:sz w:val="28"/>
          <w:szCs w:val="28"/>
        </w:rPr>
        <w:t>пального района (далее - Счётная палата) в 2018 году, как и в предыдущие годы, осуществлялась в соответствии с требованиями законодательства, а именно: в соответствии с Бюджетным кодексом Российской Федерации, Ф</w:t>
      </w:r>
      <w:r w:rsidRPr="00AF2B6D">
        <w:rPr>
          <w:rFonts w:ascii="Times New Roman" w:hAnsi="Times New Roman"/>
          <w:sz w:val="28"/>
          <w:szCs w:val="28"/>
        </w:rPr>
        <w:t>е</w:t>
      </w:r>
      <w:r w:rsidRPr="00AF2B6D">
        <w:rPr>
          <w:rFonts w:ascii="Times New Roman" w:hAnsi="Times New Roman"/>
          <w:sz w:val="28"/>
          <w:szCs w:val="28"/>
        </w:rPr>
        <w:t>деральным законом от 7 февраля 2011 года № 6-ФЗ «Об общих принципах организации и деятельности контрольно-счетных органов субъектов Росси</w:t>
      </w:r>
      <w:r w:rsidRPr="00AF2B6D">
        <w:rPr>
          <w:rFonts w:ascii="Times New Roman" w:hAnsi="Times New Roman"/>
          <w:sz w:val="28"/>
          <w:szCs w:val="28"/>
        </w:rPr>
        <w:t>й</w:t>
      </w:r>
      <w:r w:rsidRPr="00AF2B6D">
        <w:rPr>
          <w:rFonts w:ascii="Times New Roman" w:hAnsi="Times New Roman"/>
          <w:sz w:val="28"/>
          <w:szCs w:val="28"/>
        </w:rPr>
        <w:t>ской Федерации и муниципальных образований» и иными нормативными правовыми актами, определяющими объем прав и обязанностей по осущес</w:t>
      </w:r>
      <w:r w:rsidRPr="00AF2B6D">
        <w:rPr>
          <w:rFonts w:ascii="Times New Roman" w:hAnsi="Times New Roman"/>
          <w:sz w:val="28"/>
          <w:szCs w:val="28"/>
        </w:rPr>
        <w:t>т</w:t>
      </w:r>
      <w:r w:rsidRPr="00AF2B6D">
        <w:rPr>
          <w:rFonts w:ascii="Times New Roman" w:hAnsi="Times New Roman"/>
          <w:sz w:val="28"/>
          <w:szCs w:val="28"/>
        </w:rPr>
        <w:t>влению внешнего государственного финансового контроля.</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 xml:space="preserve">Согласно Положению Счётная палата </w:t>
      </w:r>
      <w:r w:rsidRPr="00AF2B6D">
        <w:rPr>
          <w:rFonts w:ascii="Times New Roman" w:hAnsi="Times New Roman"/>
          <w:spacing w:val="-4"/>
          <w:sz w:val="28"/>
          <w:szCs w:val="28"/>
        </w:rPr>
        <w:t xml:space="preserve">является постоянно действующим органом внешнего муниципального финансового контроля, образована Думой Маловишерского муниципального района </w:t>
      </w:r>
      <w:r w:rsidRPr="00AF2B6D">
        <w:rPr>
          <w:rFonts w:ascii="Times New Roman" w:hAnsi="Times New Roman"/>
          <w:spacing w:val="-5"/>
          <w:sz w:val="28"/>
          <w:szCs w:val="28"/>
        </w:rPr>
        <w:t xml:space="preserve"> и в своей деятельности подотчетна ей. </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В целях выполнения установленных полномочий Счётной палатой осуществлялась контрольная, экспертно-аналитическая и иная деятельность, основанная на принципах законности, объективности, эффективности, незав</w:t>
      </w:r>
      <w:r w:rsidRPr="00AF2B6D">
        <w:rPr>
          <w:rFonts w:ascii="Times New Roman" w:hAnsi="Times New Roman"/>
          <w:sz w:val="28"/>
          <w:szCs w:val="28"/>
        </w:rPr>
        <w:t>и</w:t>
      </w:r>
      <w:r w:rsidRPr="00AF2B6D">
        <w:rPr>
          <w:rFonts w:ascii="Times New Roman" w:hAnsi="Times New Roman"/>
          <w:sz w:val="28"/>
          <w:szCs w:val="28"/>
        </w:rPr>
        <w:t>симости и гласности на основе годового Плана работы Счётной палаты, сформированного по предложениям Главы Маловишерского муниципальн</w:t>
      </w:r>
      <w:r w:rsidRPr="00AF2B6D">
        <w:rPr>
          <w:rFonts w:ascii="Times New Roman" w:hAnsi="Times New Roman"/>
          <w:sz w:val="28"/>
          <w:szCs w:val="28"/>
        </w:rPr>
        <w:t>о</w:t>
      </w:r>
      <w:r w:rsidRPr="00AF2B6D">
        <w:rPr>
          <w:rFonts w:ascii="Times New Roman" w:hAnsi="Times New Roman"/>
          <w:sz w:val="28"/>
          <w:szCs w:val="28"/>
        </w:rPr>
        <w:t>го района.</w:t>
      </w:r>
    </w:p>
    <w:p w:rsidR="00AF2B6D" w:rsidRPr="00AF2B6D" w:rsidRDefault="00AF2B6D" w:rsidP="00AF2B6D">
      <w:pPr>
        <w:ind w:firstLine="709"/>
        <w:jc w:val="both"/>
        <w:outlineLvl w:val="0"/>
        <w:rPr>
          <w:szCs w:val="28"/>
        </w:rPr>
      </w:pPr>
      <w:r w:rsidRPr="00AF2B6D">
        <w:rPr>
          <w:szCs w:val="28"/>
        </w:rPr>
        <w:t>Счётной палатой заключено 4 Соглашения  о передаче полномочий на 2018 год по осуществлению внешнего муниципального финансового контр</w:t>
      </w:r>
      <w:r w:rsidRPr="00AF2B6D">
        <w:rPr>
          <w:szCs w:val="28"/>
        </w:rPr>
        <w:t>о</w:t>
      </w:r>
      <w:r w:rsidRPr="00AF2B6D">
        <w:rPr>
          <w:szCs w:val="28"/>
        </w:rPr>
        <w:t>ля.</w:t>
      </w:r>
    </w:p>
    <w:p w:rsidR="00AF2B6D" w:rsidRPr="00AF2B6D" w:rsidRDefault="00AF2B6D" w:rsidP="00AF2B6D">
      <w:pPr>
        <w:pStyle w:val="af"/>
        <w:spacing w:before="0" w:beforeAutospacing="0" w:after="0" w:afterAutospacing="0"/>
        <w:jc w:val="both"/>
        <w:rPr>
          <w:rFonts w:ascii="Times New Roman" w:hAnsi="Times New Roman"/>
          <w:sz w:val="28"/>
          <w:szCs w:val="28"/>
        </w:rPr>
      </w:pPr>
    </w:p>
    <w:p w:rsidR="00AF2B6D" w:rsidRPr="00AF2B6D" w:rsidRDefault="00AF2B6D" w:rsidP="00AF2B6D">
      <w:pPr>
        <w:pStyle w:val="af"/>
        <w:spacing w:before="0" w:beforeAutospacing="0" w:after="0" w:afterAutospacing="0"/>
        <w:ind w:firstLine="709"/>
        <w:rPr>
          <w:rFonts w:ascii="Times New Roman" w:hAnsi="Times New Roman"/>
          <w:sz w:val="28"/>
          <w:szCs w:val="28"/>
        </w:rPr>
      </w:pPr>
      <w:r w:rsidRPr="00AF2B6D">
        <w:rPr>
          <w:rStyle w:val="af3"/>
          <w:rFonts w:ascii="Times New Roman" w:hAnsi="Times New Roman"/>
          <w:sz w:val="28"/>
          <w:szCs w:val="28"/>
        </w:rPr>
        <w:t>Результаты деятельности Счётной палаты в 2018 году.</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В 2018 году Счётная палата провела 161 контрольное и экспертно-аналитическое мероприятие, из них 5 контрольных мероприятий, 12 внешних проверок годовой отчетности  и 144 экспертно- аналитических мероприятий.</w:t>
      </w:r>
    </w:p>
    <w:p w:rsidR="00AF2B6D" w:rsidRDefault="00AF2B6D" w:rsidP="00AF2B6D">
      <w:pPr>
        <w:ind w:firstLine="709"/>
        <w:jc w:val="both"/>
        <w:rPr>
          <w:szCs w:val="28"/>
        </w:rPr>
      </w:pPr>
      <w:r w:rsidRPr="00AF2B6D">
        <w:rPr>
          <w:szCs w:val="28"/>
        </w:rPr>
        <w:t>Динамика проведённых контрольных и экспертно-аналитических мер</w:t>
      </w:r>
      <w:r w:rsidRPr="00AF2B6D">
        <w:rPr>
          <w:szCs w:val="28"/>
        </w:rPr>
        <w:t>о</w:t>
      </w:r>
      <w:r w:rsidRPr="00AF2B6D">
        <w:rPr>
          <w:szCs w:val="28"/>
        </w:rPr>
        <w:t xml:space="preserve">приятий за 2014-2018 годы представлена на диаграмме 1. </w:t>
      </w:r>
    </w:p>
    <w:p w:rsidR="00AF2B6D" w:rsidRPr="00AF2B6D" w:rsidRDefault="00AF2B6D" w:rsidP="00AF2B6D">
      <w:pPr>
        <w:ind w:firstLine="709"/>
        <w:jc w:val="both"/>
        <w:rPr>
          <w:szCs w:val="28"/>
        </w:rPr>
      </w:pPr>
    </w:p>
    <w:p w:rsidR="00AF2B6D" w:rsidRPr="00AF2B6D" w:rsidRDefault="00AF2B6D" w:rsidP="00AF2B6D">
      <w:pPr>
        <w:pStyle w:val="af"/>
        <w:spacing w:before="0" w:beforeAutospacing="0" w:after="0" w:afterAutospacing="0"/>
        <w:jc w:val="right"/>
        <w:rPr>
          <w:rFonts w:ascii="Times New Roman" w:hAnsi="Times New Roman"/>
          <w:noProof/>
          <w:sz w:val="28"/>
          <w:szCs w:val="28"/>
        </w:rPr>
      </w:pPr>
      <w:r w:rsidRPr="00AF2B6D">
        <w:rPr>
          <w:rFonts w:ascii="Times New Roman" w:hAnsi="Times New Roman"/>
          <w:sz w:val="28"/>
          <w:szCs w:val="28"/>
        </w:rPr>
        <w:lastRenderedPageBreak/>
        <w:t xml:space="preserve">Диаграмма 1 </w:t>
      </w:r>
    </w:p>
    <w:p w:rsidR="00AF2B6D" w:rsidRDefault="00513B97" w:rsidP="00AF2B6D">
      <w:pPr>
        <w:pStyle w:val="af"/>
        <w:spacing w:before="0" w:beforeAutospacing="0" w:after="0" w:afterAutospacing="0"/>
        <w:jc w:val="center"/>
        <w:rPr>
          <w:noProof/>
        </w:rPr>
      </w:pPr>
      <w:r>
        <w:rPr>
          <w:noProof/>
          <w:lang w:val="ru-RU" w:eastAsia="ru-RU"/>
        </w:rPr>
        <w:drawing>
          <wp:inline distT="0" distB="0" distL="0" distR="0">
            <wp:extent cx="5891254" cy="2577735"/>
            <wp:effectExtent l="12205" t="6080" r="8391"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2B6D" w:rsidRDefault="00AF2B6D" w:rsidP="00AF2B6D">
      <w:pPr>
        <w:pStyle w:val="af"/>
        <w:spacing w:before="0" w:beforeAutospacing="0" w:after="0" w:afterAutospacing="0"/>
        <w:jc w:val="both"/>
        <w:rPr>
          <w:noProof/>
        </w:rPr>
      </w:pPr>
    </w:p>
    <w:p w:rsidR="00AF2B6D" w:rsidRPr="00AF2B6D" w:rsidRDefault="00AF2B6D" w:rsidP="00AF2B6D">
      <w:pPr>
        <w:ind w:firstLine="709"/>
        <w:jc w:val="both"/>
        <w:rPr>
          <w:szCs w:val="28"/>
        </w:rPr>
      </w:pPr>
      <w:r w:rsidRPr="00AF2B6D">
        <w:rPr>
          <w:szCs w:val="28"/>
        </w:rPr>
        <w:t>Контрольными мероприятиями было охвачено 5 объектов проверки.</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pacing w:val="4"/>
          <w:sz w:val="28"/>
          <w:szCs w:val="28"/>
        </w:rPr>
        <w:t>Осуществление экспертно-аналитических мероприятий, направленных, прежде всего, на предотвращение нарушений в финансово-бюджетной сфере, является важным направлением в деятельности Счётной палаты.</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Как видно из диаграммы показатели проведенных экспертно- аналитических мероприятий имеют ежегодный рост. Усиление аналитической составля</w:t>
      </w:r>
      <w:r w:rsidRPr="00AF2B6D">
        <w:rPr>
          <w:rFonts w:ascii="Times New Roman" w:hAnsi="Times New Roman"/>
          <w:sz w:val="28"/>
          <w:szCs w:val="28"/>
        </w:rPr>
        <w:t>ю</w:t>
      </w:r>
      <w:r w:rsidRPr="00AF2B6D">
        <w:rPr>
          <w:rFonts w:ascii="Times New Roman" w:hAnsi="Times New Roman"/>
          <w:sz w:val="28"/>
          <w:szCs w:val="28"/>
        </w:rPr>
        <w:t>щей деятельности Счётной палаты связано, прежде всего, с изменениями з</w:t>
      </w:r>
      <w:r w:rsidRPr="00AF2B6D">
        <w:rPr>
          <w:rFonts w:ascii="Times New Roman" w:hAnsi="Times New Roman"/>
          <w:sz w:val="28"/>
          <w:szCs w:val="28"/>
        </w:rPr>
        <w:t>а</w:t>
      </w:r>
      <w:r w:rsidRPr="00AF2B6D">
        <w:rPr>
          <w:rFonts w:ascii="Times New Roman" w:hAnsi="Times New Roman"/>
          <w:sz w:val="28"/>
          <w:szCs w:val="28"/>
        </w:rPr>
        <w:t>конодательства, ориентирующими на оценку эффективности бюджетных расходов и предотвращение финансовых нарушений до осуществления ко</w:t>
      </w:r>
      <w:r w:rsidRPr="00AF2B6D">
        <w:rPr>
          <w:rFonts w:ascii="Times New Roman" w:hAnsi="Times New Roman"/>
          <w:sz w:val="28"/>
          <w:szCs w:val="28"/>
        </w:rPr>
        <w:t>н</w:t>
      </w:r>
      <w:r w:rsidRPr="00AF2B6D">
        <w:rPr>
          <w:rFonts w:ascii="Times New Roman" w:hAnsi="Times New Roman"/>
          <w:sz w:val="28"/>
          <w:szCs w:val="28"/>
        </w:rPr>
        <w:t>трольных действий.</w:t>
      </w:r>
      <w:r w:rsidRPr="00AF2B6D">
        <w:rPr>
          <w:rFonts w:ascii="Times New Roman" w:hAnsi="Times New Roman"/>
          <w:spacing w:val="4"/>
          <w:sz w:val="28"/>
          <w:szCs w:val="28"/>
        </w:rPr>
        <w:t xml:space="preserve"> </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В целях обеспечения единообразия при оценке установленных в ходе контрольных действий нарушений ведется  апробация Классификатора наруш</w:t>
      </w:r>
      <w:r w:rsidRPr="00AF2B6D">
        <w:rPr>
          <w:rFonts w:ascii="Times New Roman" w:hAnsi="Times New Roman"/>
          <w:sz w:val="28"/>
          <w:szCs w:val="28"/>
        </w:rPr>
        <w:t>е</w:t>
      </w:r>
      <w:r w:rsidRPr="00AF2B6D">
        <w:rPr>
          <w:rFonts w:ascii="Times New Roman" w:hAnsi="Times New Roman"/>
          <w:sz w:val="28"/>
          <w:szCs w:val="28"/>
        </w:rPr>
        <w:t>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Данным классификатором введен новый подход, пред</w:t>
      </w:r>
      <w:r w:rsidRPr="00AF2B6D">
        <w:rPr>
          <w:rFonts w:ascii="Times New Roman" w:hAnsi="Times New Roman"/>
          <w:sz w:val="28"/>
          <w:szCs w:val="28"/>
        </w:rPr>
        <w:t>у</w:t>
      </w:r>
      <w:r w:rsidRPr="00AF2B6D">
        <w:rPr>
          <w:rFonts w:ascii="Times New Roman" w:hAnsi="Times New Roman"/>
          <w:sz w:val="28"/>
          <w:szCs w:val="28"/>
        </w:rPr>
        <w:t>сматривающий классификацию нарушений, как по количественным, так и по стоимостным параметрам в зависимости от вида нарушений.</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Данные по количественным показателям представлены в диаграмме:</w:t>
      </w:r>
    </w:p>
    <w:p w:rsidR="00AF2B6D" w:rsidRPr="00AF2B6D" w:rsidRDefault="00AF2B6D" w:rsidP="00AF2B6D">
      <w:pPr>
        <w:pStyle w:val="af"/>
        <w:spacing w:before="0" w:beforeAutospacing="0" w:after="0" w:afterAutospacing="0"/>
        <w:jc w:val="right"/>
        <w:rPr>
          <w:rFonts w:ascii="Times New Roman" w:hAnsi="Times New Roman"/>
          <w:sz w:val="28"/>
          <w:szCs w:val="28"/>
        </w:rPr>
      </w:pPr>
      <w:r>
        <w:t xml:space="preserve">                                                                                                                     </w:t>
      </w:r>
      <w:r w:rsidRPr="00A4346C">
        <w:t xml:space="preserve"> </w:t>
      </w:r>
      <w:r w:rsidRPr="00AF2B6D">
        <w:rPr>
          <w:rFonts w:ascii="Times New Roman" w:hAnsi="Times New Roman"/>
          <w:sz w:val="28"/>
          <w:szCs w:val="28"/>
        </w:rPr>
        <w:t xml:space="preserve">Диаграмма 2 </w:t>
      </w:r>
    </w:p>
    <w:p w:rsidR="00AF2B6D" w:rsidRDefault="00513B97" w:rsidP="00AF2B6D">
      <w:pPr>
        <w:pStyle w:val="af"/>
        <w:spacing w:before="0" w:beforeAutospacing="0" w:after="0" w:afterAutospacing="0"/>
        <w:jc w:val="center"/>
        <w:rPr>
          <w:sz w:val="28"/>
          <w:szCs w:val="28"/>
        </w:rPr>
      </w:pPr>
      <w:r>
        <w:rPr>
          <w:noProof/>
          <w:sz w:val="28"/>
          <w:szCs w:val="28"/>
          <w:lang w:val="ru-RU" w:eastAsia="ru-RU"/>
        </w:rPr>
        <w:drawing>
          <wp:inline distT="0" distB="0" distL="0" distR="0">
            <wp:extent cx="5683582" cy="2429358"/>
            <wp:effectExtent l="11842" t="4651" r="3701" b="581"/>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lastRenderedPageBreak/>
        <w:t>Нарушения по стоимостным показателям установлены в сфере ведения бухгалтерского учета, составления и представления бухгалтерской (финанс</w:t>
      </w:r>
      <w:r w:rsidRPr="00AF2B6D">
        <w:rPr>
          <w:rFonts w:ascii="Times New Roman" w:hAnsi="Times New Roman"/>
          <w:sz w:val="28"/>
          <w:szCs w:val="28"/>
        </w:rPr>
        <w:t>о</w:t>
      </w:r>
      <w:r w:rsidRPr="00AF2B6D">
        <w:rPr>
          <w:rFonts w:ascii="Times New Roman" w:hAnsi="Times New Roman"/>
          <w:sz w:val="28"/>
          <w:szCs w:val="28"/>
        </w:rPr>
        <w:t xml:space="preserve">вой) отчетности  в 4 случаях или 6395,1 тыс. рублей.   </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Выявленные нарушения в сфере закупок классифицированы по 5 случаям, или  470,3 тыс. рублей ( как неэффективное использование средств). Следует отметить, что аудит в сфере закупок, который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проводится в рамках каждого контрольного меропри</w:t>
      </w:r>
      <w:r w:rsidRPr="00AF2B6D">
        <w:rPr>
          <w:rFonts w:ascii="Times New Roman" w:hAnsi="Times New Roman"/>
          <w:sz w:val="28"/>
          <w:szCs w:val="28"/>
        </w:rPr>
        <w:t>я</w:t>
      </w:r>
      <w:r w:rsidRPr="00AF2B6D">
        <w:rPr>
          <w:rFonts w:ascii="Times New Roman" w:hAnsi="Times New Roman"/>
          <w:sz w:val="28"/>
          <w:szCs w:val="28"/>
        </w:rPr>
        <w:t>тия.</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В стоимостном измерении согласно введенной классификации общая сумма выявленных нарушений составила 6873,7 тыс. рублей, при этом уст</w:t>
      </w:r>
      <w:r w:rsidRPr="00AF2B6D">
        <w:rPr>
          <w:rFonts w:ascii="Times New Roman" w:hAnsi="Times New Roman"/>
          <w:sz w:val="28"/>
          <w:szCs w:val="28"/>
        </w:rPr>
        <w:t>а</w:t>
      </w:r>
      <w:r w:rsidRPr="00AF2B6D">
        <w:rPr>
          <w:rFonts w:ascii="Times New Roman" w:hAnsi="Times New Roman"/>
          <w:sz w:val="28"/>
          <w:szCs w:val="28"/>
        </w:rPr>
        <w:t xml:space="preserve">новлен в отчетном периоде случай нецелевого использования бюджетных в сумме 20,6 тыс. рублей.             </w:t>
      </w:r>
    </w:p>
    <w:p w:rsidR="00AF2B6D" w:rsidRPr="00AF2B6D" w:rsidRDefault="00AF2B6D" w:rsidP="00AF2B6D">
      <w:pPr>
        <w:tabs>
          <w:tab w:val="left" w:pos="709"/>
        </w:tabs>
        <w:ind w:firstLine="709"/>
        <w:jc w:val="both"/>
        <w:rPr>
          <w:szCs w:val="28"/>
        </w:rPr>
      </w:pPr>
      <w:r w:rsidRPr="00AF2B6D">
        <w:rPr>
          <w:szCs w:val="28"/>
        </w:rPr>
        <w:t>Следует отметить, что вышеуказанным Классификатором нарушений не предусмотрено такой группы нарушений, как неэффективные расходы. О</w:t>
      </w:r>
      <w:r w:rsidRPr="00AF2B6D">
        <w:rPr>
          <w:szCs w:val="28"/>
        </w:rPr>
        <w:t>д</w:t>
      </w:r>
      <w:r w:rsidRPr="00AF2B6D">
        <w:rPr>
          <w:szCs w:val="28"/>
        </w:rPr>
        <w:t>нако, как показали результаты проведенных контрольных мероприятий, им</w:t>
      </w:r>
      <w:r w:rsidRPr="00AF2B6D">
        <w:rPr>
          <w:szCs w:val="28"/>
        </w:rPr>
        <w:t>е</w:t>
      </w:r>
      <w:r w:rsidRPr="00AF2B6D">
        <w:rPr>
          <w:szCs w:val="28"/>
        </w:rPr>
        <w:t>ется несоблюдение принципа эффективности использования бюджетных средств, определенного статьей 34 Бюджетного кодекса Российской Федер</w:t>
      </w:r>
      <w:r w:rsidRPr="00AF2B6D">
        <w:rPr>
          <w:szCs w:val="28"/>
        </w:rPr>
        <w:t>а</w:t>
      </w:r>
      <w:r w:rsidRPr="00AF2B6D">
        <w:rPr>
          <w:szCs w:val="28"/>
        </w:rPr>
        <w:t>ции. В 2018 году объем неэффективных расходов составил 478,6 тыс. рублей. Учитывая, что неэффективное использование бюджетных средств не влечет реальной ответственности, зачастую является не устранимым, но во всех случаях свидетельствует об упущениях, имевших место при принятии упра</w:t>
      </w:r>
      <w:r w:rsidRPr="00AF2B6D">
        <w:rPr>
          <w:szCs w:val="28"/>
        </w:rPr>
        <w:t>в</w:t>
      </w:r>
      <w:r w:rsidRPr="00AF2B6D">
        <w:rPr>
          <w:szCs w:val="28"/>
        </w:rPr>
        <w:t>ленческих решений, Счетная палата и в дальнейшем будет обращать вним</w:t>
      </w:r>
      <w:r w:rsidRPr="00AF2B6D">
        <w:rPr>
          <w:szCs w:val="28"/>
        </w:rPr>
        <w:t>а</w:t>
      </w:r>
      <w:r w:rsidRPr="00AF2B6D">
        <w:rPr>
          <w:szCs w:val="28"/>
        </w:rPr>
        <w:t>ние на факты неэффективных бюджетных расходов.</w:t>
      </w:r>
    </w:p>
    <w:p w:rsidR="00AF2B6D" w:rsidRPr="00AF2B6D" w:rsidRDefault="00AF2B6D" w:rsidP="00AF2B6D">
      <w:pPr>
        <w:pStyle w:val="af"/>
        <w:spacing w:before="0" w:beforeAutospacing="0" w:after="0" w:afterAutospacing="0"/>
        <w:ind w:firstLine="709"/>
        <w:jc w:val="both"/>
        <w:rPr>
          <w:rFonts w:ascii="Times New Roman" w:hAnsi="Times New Roman"/>
          <w:noProof/>
          <w:sz w:val="28"/>
          <w:szCs w:val="28"/>
        </w:rPr>
      </w:pPr>
      <w:r w:rsidRPr="00AF2B6D">
        <w:rPr>
          <w:rFonts w:ascii="Times New Roman" w:hAnsi="Times New Roman"/>
          <w:sz w:val="28"/>
          <w:szCs w:val="28"/>
        </w:rPr>
        <w:t>За период 2016-2018 г. динамика выявленных нарушений носит нест</w:t>
      </w:r>
      <w:r w:rsidRPr="00AF2B6D">
        <w:rPr>
          <w:rFonts w:ascii="Times New Roman" w:hAnsi="Times New Roman"/>
          <w:sz w:val="28"/>
          <w:szCs w:val="28"/>
        </w:rPr>
        <w:t>а</w:t>
      </w:r>
      <w:r w:rsidRPr="00AF2B6D">
        <w:rPr>
          <w:rFonts w:ascii="Times New Roman" w:hAnsi="Times New Roman"/>
          <w:sz w:val="28"/>
          <w:szCs w:val="28"/>
        </w:rPr>
        <w:t>бильный  характер (диаграмма 3).</w:t>
      </w:r>
    </w:p>
    <w:p w:rsidR="00AF2B6D" w:rsidRPr="00AF2B6D" w:rsidRDefault="00AF2B6D" w:rsidP="00AF2B6D">
      <w:pPr>
        <w:pStyle w:val="af"/>
        <w:spacing w:before="0" w:beforeAutospacing="0" w:after="0" w:afterAutospacing="0"/>
        <w:ind w:firstLine="709"/>
        <w:jc w:val="right"/>
        <w:rPr>
          <w:rFonts w:ascii="Times New Roman" w:hAnsi="Times New Roman"/>
          <w:sz w:val="28"/>
          <w:szCs w:val="28"/>
        </w:rPr>
      </w:pPr>
      <w:r w:rsidRPr="00AF2B6D">
        <w:rPr>
          <w:rFonts w:ascii="Times New Roman" w:hAnsi="Times New Roman"/>
          <w:sz w:val="28"/>
          <w:szCs w:val="28"/>
        </w:rPr>
        <w:t xml:space="preserve">                                                                                                  Диаграмма 3 </w:t>
      </w:r>
    </w:p>
    <w:p w:rsidR="00AF2B6D" w:rsidRPr="00AF2B6D" w:rsidRDefault="00AF2B6D" w:rsidP="00AF2B6D">
      <w:pPr>
        <w:ind w:firstLine="709"/>
        <w:jc w:val="center"/>
        <w:rPr>
          <w:szCs w:val="28"/>
        </w:rPr>
      </w:pPr>
      <w:r w:rsidRPr="00AF2B6D">
        <w:rPr>
          <w:szCs w:val="28"/>
        </w:rPr>
        <w:t>Динамика объемов неэффективного использования,  тыс. рублей</w:t>
      </w:r>
    </w:p>
    <w:p w:rsidR="00AF2B6D" w:rsidRDefault="00AF2B6D" w:rsidP="00AF2B6D">
      <w:pPr>
        <w:jc w:val="center"/>
      </w:pPr>
    </w:p>
    <w:p w:rsidR="00AF2B6D" w:rsidRDefault="00513B97" w:rsidP="00AF2B6D">
      <w:pPr>
        <w:jc w:val="center"/>
      </w:pPr>
      <w:r>
        <w:rPr>
          <w:noProof/>
        </w:rPr>
        <w:drawing>
          <wp:inline distT="0" distB="0" distL="0" distR="0">
            <wp:extent cx="5244226" cy="2747896"/>
            <wp:effectExtent l="12182" t="6099" r="6472"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2B6D" w:rsidRPr="007B6999" w:rsidRDefault="00AF2B6D" w:rsidP="00AF2B6D">
      <w:pPr>
        <w:pStyle w:val="af"/>
        <w:spacing w:before="0" w:beforeAutospacing="0" w:after="0" w:afterAutospacing="0"/>
        <w:jc w:val="both"/>
        <w:rPr>
          <w:highlight w:val="yellow"/>
        </w:rPr>
      </w:pP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В зависимости от характера выявленных недостатков и нарушений стро</w:t>
      </w:r>
      <w:r w:rsidRPr="00AF2B6D">
        <w:rPr>
          <w:rFonts w:ascii="Times New Roman" w:hAnsi="Times New Roman"/>
          <w:sz w:val="28"/>
          <w:szCs w:val="28"/>
        </w:rPr>
        <w:t>и</w:t>
      </w:r>
      <w:r w:rsidRPr="00AF2B6D">
        <w:rPr>
          <w:rFonts w:ascii="Times New Roman" w:hAnsi="Times New Roman"/>
          <w:sz w:val="28"/>
          <w:szCs w:val="28"/>
        </w:rPr>
        <w:t xml:space="preserve">лась работа, направленная на их устранение, принимались соответствующие </w:t>
      </w:r>
      <w:r w:rsidRPr="00AF2B6D">
        <w:rPr>
          <w:rFonts w:ascii="Times New Roman" w:hAnsi="Times New Roman"/>
          <w:sz w:val="28"/>
          <w:szCs w:val="28"/>
        </w:rPr>
        <w:lastRenderedPageBreak/>
        <w:t>меры в рамках установленной компетенции и предоставленных полномочий. В ряде случаев устранение нарушений осуществлялось непосредственно в ходе контрольных мероприятий. В 2018 году Счётной палатой в адрес объе</w:t>
      </w:r>
      <w:r w:rsidRPr="00AF2B6D">
        <w:rPr>
          <w:rFonts w:ascii="Times New Roman" w:hAnsi="Times New Roman"/>
          <w:sz w:val="28"/>
          <w:szCs w:val="28"/>
        </w:rPr>
        <w:t>к</w:t>
      </w:r>
      <w:r w:rsidRPr="00AF2B6D">
        <w:rPr>
          <w:rFonts w:ascii="Times New Roman" w:hAnsi="Times New Roman"/>
          <w:sz w:val="28"/>
          <w:szCs w:val="28"/>
        </w:rPr>
        <w:t xml:space="preserve">тов контроля направлено 5 предложений, содержащихся в представлениях. На дату составления настоящего Отчета исполнены все представления. </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Важнейшим мероприятием, полномочиями на проведение которого в с</w:t>
      </w:r>
      <w:r w:rsidRPr="00AF2B6D">
        <w:rPr>
          <w:rFonts w:ascii="Times New Roman" w:hAnsi="Times New Roman"/>
          <w:sz w:val="28"/>
          <w:szCs w:val="28"/>
        </w:rPr>
        <w:t>о</w:t>
      </w:r>
      <w:r w:rsidRPr="00AF2B6D">
        <w:rPr>
          <w:rFonts w:ascii="Times New Roman" w:hAnsi="Times New Roman"/>
          <w:sz w:val="28"/>
          <w:szCs w:val="28"/>
        </w:rPr>
        <w:t>ответствии с Бюджетным кодексом Российской Федерации наделены органы внешнего финансового контроля является проведение внешней проверки г</w:t>
      </w:r>
      <w:r w:rsidRPr="00AF2B6D">
        <w:rPr>
          <w:rFonts w:ascii="Times New Roman" w:hAnsi="Times New Roman"/>
          <w:sz w:val="28"/>
          <w:szCs w:val="28"/>
        </w:rPr>
        <w:t>о</w:t>
      </w:r>
      <w:r w:rsidRPr="00AF2B6D">
        <w:rPr>
          <w:rFonts w:ascii="Times New Roman" w:hAnsi="Times New Roman"/>
          <w:sz w:val="28"/>
          <w:szCs w:val="28"/>
        </w:rPr>
        <w:t>дового отчета об исполнении бюджета. Данное мероприятие является особой формой контроля, включающей проведение как экспертно-аналитических, так и контрольных мероприятий.  В соответствии с требованиями бюджетн</w:t>
      </w:r>
      <w:r w:rsidRPr="00AF2B6D">
        <w:rPr>
          <w:rFonts w:ascii="Times New Roman" w:hAnsi="Times New Roman"/>
          <w:sz w:val="28"/>
          <w:szCs w:val="28"/>
        </w:rPr>
        <w:t>о</w:t>
      </w:r>
      <w:r w:rsidRPr="00AF2B6D">
        <w:rPr>
          <w:rFonts w:ascii="Times New Roman" w:hAnsi="Times New Roman"/>
          <w:sz w:val="28"/>
          <w:szCs w:val="28"/>
        </w:rPr>
        <w:t>го законодательства в 2018 году Счётной палатой проведена внешняя пр</w:t>
      </w:r>
      <w:r w:rsidRPr="00AF2B6D">
        <w:rPr>
          <w:rFonts w:ascii="Times New Roman" w:hAnsi="Times New Roman"/>
          <w:sz w:val="28"/>
          <w:szCs w:val="28"/>
        </w:rPr>
        <w:t>о</w:t>
      </w:r>
      <w:r w:rsidRPr="00AF2B6D">
        <w:rPr>
          <w:rFonts w:ascii="Times New Roman" w:hAnsi="Times New Roman"/>
          <w:sz w:val="28"/>
          <w:szCs w:val="28"/>
        </w:rPr>
        <w:t>верка бюджетной отчетности за 2017 год двенадцати главных администрат</w:t>
      </w:r>
      <w:r w:rsidRPr="00AF2B6D">
        <w:rPr>
          <w:rFonts w:ascii="Times New Roman" w:hAnsi="Times New Roman"/>
          <w:sz w:val="28"/>
          <w:szCs w:val="28"/>
        </w:rPr>
        <w:t>о</w:t>
      </w:r>
      <w:r w:rsidRPr="00AF2B6D">
        <w:rPr>
          <w:rFonts w:ascii="Times New Roman" w:hAnsi="Times New Roman"/>
          <w:sz w:val="28"/>
          <w:szCs w:val="28"/>
        </w:rPr>
        <w:t>ров средств бюджета. По итогам проверки достоверность отчетности в целом подтверждена. Вместе с тем, были выявлены нарушения и недостатки, такие как: несоответствие плановых показателей, указанных в бюджетной отчетн</w:t>
      </w:r>
      <w:r w:rsidRPr="00AF2B6D">
        <w:rPr>
          <w:rFonts w:ascii="Times New Roman" w:hAnsi="Times New Roman"/>
          <w:sz w:val="28"/>
          <w:szCs w:val="28"/>
        </w:rPr>
        <w:t>о</w:t>
      </w:r>
      <w:r w:rsidRPr="00AF2B6D">
        <w:rPr>
          <w:rFonts w:ascii="Times New Roman" w:hAnsi="Times New Roman"/>
          <w:sz w:val="28"/>
          <w:szCs w:val="28"/>
        </w:rPr>
        <w:t>сти, показателям бюджета; внутренняя несогласованность между формами бюджетной отчетности и иные замечания по оформлению отчетности и о</w:t>
      </w:r>
      <w:r w:rsidRPr="00AF2B6D">
        <w:rPr>
          <w:rFonts w:ascii="Times New Roman" w:hAnsi="Times New Roman"/>
          <w:sz w:val="28"/>
          <w:szCs w:val="28"/>
        </w:rPr>
        <w:t>т</w:t>
      </w:r>
      <w:r w:rsidRPr="00AF2B6D">
        <w:rPr>
          <w:rFonts w:ascii="Times New Roman" w:hAnsi="Times New Roman"/>
          <w:sz w:val="28"/>
          <w:szCs w:val="28"/>
        </w:rPr>
        <w:t xml:space="preserve">ражению информации в пояснительных записках к отчетам. </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Эффективность работы Счётной палаты характеризуется исполнением ее предложений по материалам проведенных мероприятий. С целью обеспеч</w:t>
      </w:r>
      <w:r w:rsidRPr="00AF2B6D">
        <w:rPr>
          <w:rFonts w:ascii="Times New Roman" w:hAnsi="Times New Roman"/>
          <w:sz w:val="28"/>
          <w:szCs w:val="28"/>
        </w:rPr>
        <w:t>е</w:t>
      </w:r>
      <w:r w:rsidRPr="00AF2B6D">
        <w:rPr>
          <w:rFonts w:ascii="Times New Roman" w:hAnsi="Times New Roman"/>
          <w:sz w:val="28"/>
          <w:szCs w:val="28"/>
        </w:rPr>
        <w:t xml:space="preserve">ния контроля, дальнейшего недопущения нарушений информационные письма и отчеты о результатах контрольных мероприятий в обязательном порядке направлялись в Думу Маловишерского муниципального района, Главе муниципального района. </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Рекомендации Счётной палаты учитывались при принятии муниципал</w:t>
      </w:r>
      <w:r w:rsidRPr="00AF2B6D">
        <w:rPr>
          <w:rFonts w:ascii="Times New Roman" w:hAnsi="Times New Roman"/>
          <w:sz w:val="28"/>
          <w:szCs w:val="28"/>
        </w:rPr>
        <w:t>ь</w:t>
      </w:r>
      <w:r w:rsidRPr="00AF2B6D">
        <w:rPr>
          <w:rFonts w:ascii="Times New Roman" w:hAnsi="Times New Roman"/>
          <w:sz w:val="28"/>
          <w:szCs w:val="28"/>
        </w:rPr>
        <w:t>ных нормативных правовых актов. За 2018 год рассмотрены и положительно решены вопросы по 42 предложениям Счетной палаты, указанным в закл</w:t>
      </w:r>
      <w:r w:rsidRPr="00AF2B6D">
        <w:rPr>
          <w:rFonts w:ascii="Times New Roman" w:hAnsi="Times New Roman"/>
          <w:sz w:val="28"/>
          <w:szCs w:val="28"/>
        </w:rPr>
        <w:t>ю</w:t>
      </w:r>
      <w:r w:rsidRPr="00AF2B6D">
        <w:rPr>
          <w:rFonts w:ascii="Times New Roman" w:hAnsi="Times New Roman"/>
          <w:sz w:val="28"/>
          <w:szCs w:val="28"/>
        </w:rPr>
        <w:t xml:space="preserve">чениях, что составляет 81 процент от общего количества направленных предложений. </w:t>
      </w:r>
    </w:p>
    <w:p w:rsidR="00AF2B6D" w:rsidRPr="00AF2B6D" w:rsidRDefault="00AF2B6D" w:rsidP="00AF2B6D">
      <w:pPr>
        <w:ind w:firstLine="709"/>
        <w:jc w:val="center"/>
        <w:rPr>
          <w:szCs w:val="28"/>
        </w:rPr>
      </w:pPr>
    </w:p>
    <w:p w:rsidR="00AF2B6D" w:rsidRPr="00AF2B6D" w:rsidRDefault="00AF2B6D" w:rsidP="00AF2B6D">
      <w:pPr>
        <w:pStyle w:val="af"/>
        <w:spacing w:before="0" w:beforeAutospacing="0" w:after="0" w:afterAutospacing="0"/>
        <w:ind w:firstLine="709"/>
        <w:jc w:val="both"/>
        <w:rPr>
          <w:rFonts w:ascii="Times New Roman" w:hAnsi="Times New Roman"/>
          <w:b/>
          <w:sz w:val="28"/>
          <w:szCs w:val="28"/>
        </w:rPr>
      </w:pPr>
      <w:r w:rsidRPr="00AF2B6D">
        <w:rPr>
          <w:rFonts w:ascii="Times New Roman" w:hAnsi="Times New Roman"/>
          <w:b/>
          <w:sz w:val="28"/>
          <w:szCs w:val="28"/>
        </w:rPr>
        <w:t>Результаты экспертно-аналитической деятельности</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Проведение экспертно-аналитических мероприятий становится преим</w:t>
      </w:r>
      <w:r w:rsidRPr="00AF2B6D">
        <w:rPr>
          <w:rFonts w:ascii="Times New Roman" w:hAnsi="Times New Roman"/>
          <w:sz w:val="28"/>
          <w:szCs w:val="28"/>
        </w:rPr>
        <w:t>у</w:t>
      </w:r>
      <w:r w:rsidRPr="00AF2B6D">
        <w:rPr>
          <w:rFonts w:ascii="Times New Roman" w:hAnsi="Times New Roman"/>
          <w:sz w:val="28"/>
          <w:szCs w:val="28"/>
        </w:rPr>
        <w:t>щественным направлением в деятельности Счётной палаты, которое реализуется посредством  проведения экспертизы проектов решений Думы Малов</w:t>
      </w:r>
      <w:r w:rsidRPr="00AF2B6D">
        <w:rPr>
          <w:rFonts w:ascii="Times New Roman" w:hAnsi="Times New Roman"/>
          <w:sz w:val="28"/>
          <w:szCs w:val="28"/>
        </w:rPr>
        <w:t>и</w:t>
      </w:r>
      <w:r w:rsidRPr="00AF2B6D">
        <w:rPr>
          <w:rFonts w:ascii="Times New Roman" w:hAnsi="Times New Roman"/>
          <w:sz w:val="28"/>
          <w:szCs w:val="28"/>
        </w:rPr>
        <w:t>шерского муниципального района, решений Советов депутатов городских и сельских поселений о бюджете,  внешней проверки годового отчета об исполнении соответствующих бюджетов, финансово-экономической эксперт</w:t>
      </w:r>
      <w:r w:rsidRPr="00AF2B6D">
        <w:rPr>
          <w:rFonts w:ascii="Times New Roman" w:hAnsi="Times New Roman"/>
          <w:sz w:val="28"/>
          <w:szCs w:val="28"/>
        </w:rPr>
        <w:t>и</w:t>
      </w:r>
      <w:r w:rsidRPr="00AF2B6D">
        <w:rPr>
          <w:rFonts w:ascii="Times New Roman" w:hAnsi="Times New Roman"/>
          <w:sz w:val="28"/>
          <w:szCs w:val="28"/>
        </w:rPr>
        <w:t>зы проектов муниципальных программ, а также подготовки иных аналитич</w:t>
      </w:r>
      <w:r w:rsidRPr="00AF2B6D">
        <w:rPr>
          <w:rFonts w:ascii="Times New Roman" w:hAnsi="Times New Roman"/>
          <w:sz w:val="28"/>
          <w:szCs w:val="28"/>
        </w:rPr>
        <w:t>е</w:t>
      </w:r>
      <w:r w:rsidRPr="00AF2B6D">
        <w:rPr>
          <w:rFonts w:ascii="Times New Roman" w:hAnsi="Times New Roman"/>
          <w:sz w:val="28"/>
          <w:szCs w:val="28"/>
        </w:rPr>
        <w:t>ских материалов.</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За 2018 год проведено 144 экспертизы (на проекты решений Думы и Советов депутатов –50,  по проектам муниципальных программ и внесения и</w:t>
      </w:r>
      <w:r w:rsidRPr="00AF2B6D">
        <w:rPr>
          <w:rFonts w:ascii="Times New Roman" w:hAnsi="Times New Roman"/>
          <w:sz w:val="28"/>
          <w:szCs w:val="28"/>
        </w:rPr>
        <w:t>з</w:t>
      </w:r>
      <w:r w:rsidRPr="00AF2B6D">
        <w:rPr>
          <w:rFonts w:ascii="Times New Roman" w:hAnsi="Times New Roman"/>
          <w:sz w:val="28"/>
          <w:szCs w:val="28"/>
        </w:rPr>
        <w:t>менений в муниципальные программы– 94). Как и раньше, большую часть экспертиз в отчетном году составляла финансово-экономическая экспертиза проектов, принимаемых муниципальных программ  и вносящих в них изм</w:t>
      </w:r>
      <w:r w:rsidRPr="00AF2B6D">
        <w:rPr>
          <w:rFonts w:ascii="Times New Roman" w:hAnsi="Times New Roman"/>
          <w:sz w:val="28"/>
          <w:szCs w:val="28"/>
        </w:rPr>
        <w:t>е</w:t>
      </w:r>
      <w:r w:rsidRPr="00AF2B6D">
        <w:rPr>
          <w:rFonts w:ascii="Times New Roman" w:hAnsi="Times New Roman"/>
          <w:sz w:val="28"/>
          <w:szCs w:val="28"/>
        </w:rPr>
        <w:t>нений.</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lastRenderedPageBreak/>
        <w:t>Заключения Счётной палаты в установленном порядке направлены в Д</w:t>
      </w:r>
      <w:r w:rsidRPr="00AF2B6D">
        <w:rPr>
          <w:rFonts w:ascii="Times New Roman" w:hAnsi="Times New Roman"/>
          <w:sz w:val="28"/>
          <w:szCs w:val="28"/>
        </w:rPr>
        <w:t>у</w:t>
      </w:r>
      <w:r w:rsidRPr="00AF2B6D">
        <w:rPr>
          <w:rFonts w:ascii="Times New Roman" w:hAnsi="Times New Roman"/>
          <w:sz w:val="28"/>
          <w:szCs w:val="28"/>
        </w:rPr>
        <w:t>му Маловишерского муниципального района, в Советы депутатов поселений, соответствующим разработчикам проектов.</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p>
    <w:p w:rsidR="00AF2B6D" w:rsidRPr="00AF2B6D" w:rsidRDefault="00AF2B6D" w:rsidP="00AF2B6D">
      <w:pPr>
        <w:pStyle w:val="af"/>
        <w:spacing w:before="0" w:beforeAutospacing="0" w:after="0" w:afterAutospacing="0"/>
        <w:ind w:firstLine="709"/>
        <w:rPr>
          <w:rFonts w:ascii="Times New Roman" w:hAnsi="Times New Roman"/>
          <w:b/>
          <w:sz w:val="28"/>
          <w:szCs w:val="28"/>
        </w:rPr>
      </w:pPr>
      <w:r w:rsidRPr="00AF2B6D">
        <w:rPr>
          <w:rFonts w:ascii="Times New Roman" w:hAnsi="Times New Roman"/>
          <w:b/>
          <w:sz w:val="28"/>
          <w:szCs w:val="28"/>
        </w:rPr>
        <w:t>Результаты контрольной деятельности</w:t>
      </w:r>
    </w:p>
    <w:p w:rsidR="00AF2B6D" w:rsidRPr="00AF2B6D" w:rsidRDefault="00AF2B6D" w:rsidP="00AF2B6D">
      <w:pPr>
        <w:pStyle w:val="af5"/>
        <w:ind w:firstLine="709"/>
        <w:jc w:val="both"/>
        <w:rPr>
          <w:sz w:val="28"/>
          <w:szCs w:val="28"/>
        </w:rPr>
      </w:pPr>
      <w:r w:rsidRPr="00AF2B6D">
        <w:rPr>
          <w:sz w:val="28"/>
          <w:szCs w:val="28"/>
        </w:rPr>
        <w:t>Контрольные мероприятия проводились в соответствии с утвержденным годовым планом работы Счётной палаты. В 2018 году контрольная деятел</w:t>
      </w:r>
      <w:r w:rsidRPr="00AF2B6D">
        <w:rPr>
          <w:sz w:val="28"/>
          <w:szCs w:val="28"/>
        </w:rPr>
        <w:t>ь</w:t>
      </w:r>
      <w:r w:rsidRPr="00AF2B6D">
        <w:rPr>
          <w:sz w:val="28"/>
          <w:szCs w:val="28"/>
        </w:rPr>
        <w:t>ность, как и в предыдущие годы, была направлена на проведение проверок целевого и эффективного использования средств, при реализации муниц</w:t>
      </w:r>
      <w:r w:rsidRPr="00AF2B6D">
        <w:rPr>
          <w:sz w:val="28"/>
          <w:szCs w:val="28"/>
        </w:rPr>
        <w:t>и</w:t>
      </w:r>
      <w:r w:rsidRPr="00AF2B6D">
        <w:rPr>
          <w:sz w:val="28"/>
          <w:szCs w:val="28"/>
        </w:rPr>
        <w:t xml:space="preserve">пальных программ, осуществления муниципальных закупок. </w:t>
      </w:r>
    </w:p>
    <w:p w:rsidR="00AF2B6D" w:rsidRPr="00AF2B6D" w:rsidRDefault="00AF2B6D" w:rsidP="00AF2B6D">
      <w:pPr>
        <w:pStyle w:val="af"/>
        <w:spacing w:before="0" w:beforeAutospacing="0" w:after="0" w:afterAutospacing="0"/>
        <w:ind w:firstLine="709"/>
        <w:rPr>
          <w:rFonts w:ascii="Times New Roman" w:hAnsi="Times New Roman"/>
          <w:sz w:val="28"/>
          <w:szCs w:val="28"/>
        </w:rPr>
      </w:pPr>
      <w:r w:rsidRPr="00AF2B6D">
        <w:rPr>
          <w:rFonts w:ascii="Times New Roman" w:hAnsi="Times New Roman"/>
          <w:sz w:val="28"/>
          <w:szCs w:val="28"/>
        </w:rPr>
        <w:t>Выявленные нарушения отражены в отчетах Счётной палаты и доведены до должностных лиц объектов проверок.</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Общая сумма  охваченных проверками бюджетных средств  составила 37237,8 тыс. рублей. Сумма нарушений, установленная в ходе проверок с</w:t>
      </w:r>
      <w:r w:rsidRPr="00AF2B6D">
        <w:rPr>
          <w:rFonts w:ascii="Times New Roman" w:hAnsi="Times New Roman"/>
          <w:sz w:val="28"/>
          <w:szCs w:val="28"/>
        </w:rPr>
        <w:t>о</w:t>
      </w:r>
      <w:r w:rsidRPr="00AF2B6D">
        <w:rPr>
          <w:rFonts w:ascii="Times New Roman" w:hAnsi="Times New Roman"/>
          <w:sz w:val="28"/>
          <w:szCs w:val="28"/>
        </w:rPr>
        <w:t>ставила  6873,7 тыс. рублей, или 18,4 процента.</w:t>
      </w:r>
    </w:p>
    <w:p w:rsidR="00AF2B6D" w:rsidRPr="00AF2B6D" w:rsidRDefault="00AF2B6D" w:rsidP="00AF2B6D">
      <w:pPr>
        <w:pStyle w:val="af"/>
        <w:spacing w:before="0" w:beforeAutospacing="0" w:after="0" w:afterAutospacing="0"/>
        <w:ind w:firstLine="709"/>
        <w:jc w:val="both"/>
        <w:rPr>
          <w:rFonts w:ascii="Times New Roman" w:eastAsia="Calibri" w:hAnsi="Times New Roman"/>
          <w:sz w:val="28"/>
          <w:szCs w:val="28"/>
          <w:lang w:eastAsia="en-US"/>
        </w:rPr>
      </w:pPr>
      <w:r w:rsidRPr="00AF2B6D">
        <w:rPr>
          <w:rFonts w:ascii="Times New Roman" w:eastAsia="Calibri" w:hAnsi="Times New Roman"/>
          <w:sz w:val="28"/>
          <w:szCs w:val="28"/>
          <w:lang w:eastAsia="en-US"/>
        </w:rPr>
        <w:t>Обобщенная информация о выявленных  нарушениях в  2018 году прив</w:t>
      </w:r>
      <w:r w:rsidRPr="00AF2B6D">
        <w:rPr>
          <w:rFonts w:ascii="Times New Roman" w:eastAsia="Calibri" w:hAnsi="Times New Roman"/>
          <w:sz w:val="28"/>
          <w:szCs w:val="28"/>
          <w:lang w:eastAsia="en-US"/>
        </w:rPr>
        <w:t>е</w:t>
      </w:r>
      <w:r w:rsidRPr="00AF2B6D">
        <w:rPr>
          <w:rFonts w:ascii="Times New Roman" w:eastAsia="Calibri" w:hAnsi="Times New Roman"/>
          <w:sz w:val="28"/>
          <w:szCs w:val="28"/>
          <w:lang w:eastAsia="en-US"/>
        </w:rPr>
        <w:t>дена в приложении.</w:t>
      </w:r>
    </w:p>
    <w:p w:rsidR="00AF2B6D" w:rsidRPr="00AF2B6D" w:rsidRDefault="00AF2B6D" w:rsidP="00AF2B6D">
      <w:pPr>
        <w:pStyle w:val="af"/>
        <w:spacing w:before="0" w:beforeAutospacing="0" w:after="0" w:afterAutospacing="0"/>
        <w:ind w:firstLine="709"/>
        <w:jc w:val="both"/>
        <w:rPr>
          <w:rFonts w:ascii="Times New Roman" w:eastAsia="Calibri" w:hAnsi="Times New Roman"/>
          <w:sz w:val="28"/>
          <w:szCs w:val="28"/>
          <w:lang w:eastAsia="en-US"/>
        </w:rPr>
      </w:pPr>
      <w:r w:rsidRPr="00AF2B6D">
        <w:rPr>
          <w:rFonts w:ascii="Times New Roman" w:eastAsia="Calibri" w:hAnsi="Times New Roman"/>
          <w:sz w:val="28"/>
          <w:szCs w:val="28"/>
          <w:lang w:eastAsia="en-US"/>
        </w:rPr>
        <w:t>Основными нарушениями при проведении проверок являлись:</w:t>
      </w:r>
    </w:p>
    <w:p w:rsidR="00AF2B6D" w:rsidRPr="00AF2B6D" w:rsidRDefault="00AF2B6D" w:rsidP="00AF2B6D">
      <w:pPr>
        <w:pStyle w:val="af"/>
        <w:spacing w:before="0" w:beforeAutospacing="0" w:after="0" w:afterAutospacing="0"/>
        <w:ind w:firstLine="709"/>
        <w:jc w:val="both"/>
        <w:rPr>
          <w:rFonts w:ascii="Times New Roman" w:eastAsia="Calibri" w:hAnsi="Times New Roman"/>
          <w:sz w:val="28"/>
          <w:szCs w:val="28"/>
          <w:lang w:eastAsia="en-US"/>
        </w:rPr>
      </w:pPr>
      <w:r w:rsidRPr="00AF2B6D">
        <w:rPr>
          <w:rFonts w:ascii="Times New Roman" w:hAnsi="Times New Roman"/>
          <w:sz w:val="28"/>
          <w:szCs w:val="28"/>
        </w:rPr>
        <w:t xml:space="preserve">1) В муниципальном бюджетном учреждении дополнительного образования «Маловишерская детская школа искусств» (МБУ ДШИ) </w:t>
      </w:r>
    </w:p>
    <w:p w:rsidR="00AF2B6D" w:rsidRPr="00AF2B6D" w:rsidRDefault="00AF2B6D" w:rsidP="00AF2B6D">
      <w:pPr>
        <w:pStyle w:val="29"/>
        <w:ind w:firstLine="709"/>
        <w:rPr>
          <w:sz w:val="28"/>
          <w:szCs w:val="28"/>
        </w:rPr>
      </w:pPr>
      <w:r w:rsidRPr="00AF2B6D">
        <w:rPr>
          <w:sz w:val="28"/>
          <w:szCs w:val="28"/>
        </w:rPr>
        <w:t>нарушения, не содержащие признаки административного правонар</w:t>
      </w:r>
      <w:r w:rsidRPr="00AF2B6D">
        <w:rPr>
          <w:sz w:val="28"/>
          <w:szCs w:val="28"/>
        </w:rPr>
        <w:t>у</w:t>
      </w:r>
      <w:r w:rsidRPr="00AF2B6D">
        <w:rPr>
          <w:sz w:val="28"/>
          <w:szCs w:val="28"/>
        </w:rPr>
        <w:t>шения:</w:t>
      </w:r>
    </w:p>
    <w:p w:rsidR="00AF2B6D" w:rsidRPr="00AF2B6D" w:rsidRDefault="00AF2B6D" w:rsidP="00AF2B6D">
      <w:pPr>
        <w:autoSpaceDE w:val="0"/>
        <w:autoSpaceDN w:val="0"/>
        <w:adjustRightInd w:val="0"/>
        <w:ind w:firstLine="709"/>
        <w:jc w:val="both"/>
        <w:rPr>
          <w:szCs w:val="28"/>
        </w:rPr>
      </w:pPr>
      <w:r w:rsidRPr="00AF2B6D">
        <w:rPr>
          <w:szCs w:val="28"/>
        </w:rPr>
        <w:t>- выплата стипендий осуществлялась с нарушением Гражданского Кодекса РФ;  Семейного Кодекса РФ и Указаний Центрального Банка  Российской Федерации от 11.03.2014 №3210-У «О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w:t>
      </w:r>
      <w:r w:rsidRPr="00AF2B6D">
        <w:rPr>
          <w:szCs w:val="28"/>
        </w:rPr>
        <w:t>а</w:t>
      </w:r>
      <w:r w:rsidRPr="00AF2B6D">
        <w:rPr>
          <w:szCs w:val="28"/>
        </w:rPr>
        <w:t xml:space="preserve">тельства» </w:t>
      </w:r>
      <w:r w:rsidRPr="005D16FC">
        <w:rPr>
          <w:szCs w:val="28"/>
        </w:rPr>
        <w:t>(расчётно-платёжные ведомости  (платёжные ведомости) не оформлялись;   в отдельных случаях выплата  осуществлялась непосредс</w:t>
      </w:r>
      <w:r w:rsidRPr="005D16FC">
        <w:rPr>
          <w:szCs w:val="28"/>
        </w:rPr>
        <w:t>т</w:t>
      </w:r>
      <w:r w:rsidRPr="005D16FC">
        <w:rPr>
          <w:szCs w:val="28"/>
        </w:rPr>
        <w:t>венно самим малолетним учащимся стипендиатам</w:t>
      </w:r>
      <w:r w:rsidRPr="00AF2B6D">
        <w:rPr>
          <w:i/>
          <w:szCs w:val="28"/>
        </w:rPr>
        <w:t>)</w:t>
      </w:r>
      <w:r w:rsidRPr="00AF2B6D">
        <w:rPr>
          <w:szCs w:val="28"/>
        </w:rPr>
        <w:t>;</w:t>
      </w:r>
    </w:p>
    <w:p w:rsidR="00AF2B6D" w:rsidRPr="00AF2B6D" w:rsidRDefault="00AF2B6D" w:rsidP="00AF2B6D">
      <w:pPr>
        <w:autoSpaceDE w:val="0"/>
        <w:autoSpaceDN w:val="0"/>
        <w:adjustRightInd w:val="0"/>
        <w:ind w:firstLine="709"/>
        <w:jc w:val="both"/>
        <w:rPr>
          <w:i/>
          <w:szCs w:val="28"/>
        </w:rPr>
      </w:pPr>
      <w:r w:rsidRPr="00AF2B6D">
        <w:rPr>
          <w:szCs w:val="28"/>
        </w:rPr>
        <w:t xml:space="preserve">- нарушение Федерального закона от 18.07.2011 г. №223-ФЗ «О закупках товаров, работ, услуг отдельными видами юридических лиц» </w:t>
      </w:r>
      <w:r w:rsidRPr="00AF2B6D">
        <w:rPr>
          <w:i/>
          <w:szCs w:val="28"/>
        </w:rPr>
        <w:t>(</w:t>
      </w:r>
      <w:r w:rsidRPr="005D16FC">
        <w:rPr>
          <w:szCs w:val="28"/>
        </w:rPr>
        <w:t>Положение о закупке утверждено директором учреждения вместо должного утвержд</w:t>
      </w:r>
      <w:r w:rsidRPr="005D16FC">
        <w:rPr>
          <w:szCs w:val="28"/>
        </w:rPr>
        <w:t>е</w:t>
      </w:r>
      <w:r w:rsidRPr="005D16FC">
        <w:rPr>
          <w:szCs w:val="28"/>
        </w:rPr>
        <w:t>ния Учредителем; Размещённый на официальном сайте  план закупки на 2017 год не содержит сведений ни об одной планируемой закупке, тогда как планом ФХД предусмотрен значительный объём закупок</w:t>
      </w:r>
      <w:r w:rsidRPr="00AF2B6D">
        <w:rPr>
          <w:i/>
          <w:szCs w:val="28"/>
        </w:rPr>
        <w:t>);</w:t>
      </w:r>
    </w:p>
    <w:p w:rsidR="00AF2B6D" w:rsidRPr="005D16FC" w:rsidRDefault="00AF2B6D" w:rsidP="00AF2B6D">
      <w:pPr>
        <w:autoSpaceDE w:val="0"/>
        <w:autoSpaceDN w:val="0"/>
        <w:adjustRightInd w:val="0"/>
        <w:ind w:firstLine="709"/>
        <w:jc w:val="both"/>
        <w:rPr>
          <w:b/>
          <w:szCs w:val="28"/>
          <w:u w:val="single"/>
        </w:rPr>
      </w:pPr>
      <w:r w:rsidRPr="00AF2B6D">
        <w:rPr>
          <w:szCs w:val="28"/>
        </w:rPr>
        <w:t>- нарушение Приказа Минфина России от 25.03.2011 № 33н «Об утвержд</w:t>
      </w:r>
      <w:r w:rsidRPr="00AF2B6D">
        <w:rPr>
          <w:szCs w:val="28"/>
        </w:rPr>
        <w:t>е</w:t>
      </w:r>
      <w:r w:rsidRPr="00AF2B6D">
        <w:rPr>
          <w:szCs w:val="28"/>
        </w:rPr>
        <w:t xml:space="preserve">нии Инструкции о порядке составления, представления годовой, квартальной бухгалтерской отчётности государственных (муниципальных) бюджетных и автономных учреждений»-  </w:t>
      </w:r>
      <w:r w:rsidRPr="005D16FC">
        <w:rPr>
          <w:szCs w:val="28"/>
        </w:rPr>
        <w:t>выразившееся в искажении отчетности в сумме 20,6 тыс. рублей. В связи с тем, что искажение показателя бухгалтерской (финансовой) отчётности,  составило менее 10 процентов, данное наруш</w:t>
      </w:r>
      <w:r w:rsidRPr="005D16FC">
        <w:rPr>
          <w:szCs w:val="28"/>
        </w:rPr>
        <w:t>е</w:t>
      </w:r>
      <w:r w:rsidRPr="005D16FC">
        <w:rPr>
          <w:szCs w:val="28"/>
        </w:rPr>
        <w:t xml:space="preserve">ние не является </w:t>
      </w:r>
      <w:r w:rsidRPr="005D16FC">
        <w:rPr>
          <w:bCs/>
          <w:szCs w:val="28"/>
        </w:rPr>
        <w:t>грубым и не влечёт за собой административной ответс</w:t>
      </w:r>
      <w:r w:rsidRPr="005D16FC">
        <w:rPr>
          <w:bCs/>
          <w:szCs w:val="28"/>
        </w:rPr>
        <w:t>т</w:t>
      </w:r>
      <w:r w:rsidRPr="005D16FC">
        <w:rPr>
          <w:bCs/>
          <w:szCs w:val="28"/>
        </w:rPr>
        <w:t>венности, предусмотренной статьёй 15.11 Кодекса об административных правонарушениях</w:t>
      </w:r>
      <w:r w:rsidRPr="005D16FC">
        <w:rPr>
          <w:szCs w:val="28"/>
        </w:rPr>
        <w:t>;</w:t>
      </w:r>
    </w:p>
    <w:p w:rsidR="00AF2B6D" w:rsidRPr="00AF2B6D" w:rsidRDefault="00AF2B6D" w:rsidP="00AF2B6D">
      <w:pPr>
        <w:autoSpaceDE w:val="0"/>
        <w:autoSpaceDN w:val="0"/>
        <w:adjustRightInd w:val="0"/>
        <w:ind w:firstLine="709"/>
        <w:jc w:val="both"/>
        <w:rPr>
          <w:b/>
          <w:i/>
          <w:szCs w:val="28"/>
          <w:u w:val="single"/>
        </w:rPr>
      </w:pPr>
      <w:r w:rsidRPr="00AF2B6D">
        <w:rPr>
          <w:szCs w:val="28"/>
        </w:rPr>
        <w:t xml:space="preserve">- нарушения норм Положения о формировании муниципального задания муниципальным учреждениям муниципального района и финансовом </w:t>
      </w:r>
      <w:r w:rsidRPr="00AF2B6D">
        <w:rPr>
          <w:szCs w:val="28"/>
        </w:rPr>
        <w:lastRenderedPageBreak/>
        <w:t>обеспечении выполнения этого задания, утвержденного постановлением Адм</w:t>
      </w:r>
      <w:r w:rsidRPr="00AF2B6D">
        <w:rPr>
          <w:szCs w:val="28"/>
        </w:rPr>
        <w:t>и</w:t>
      </w:r>
      <w:r w:rsidRPr="00AF2B6D">
        <w:rPr>
          <w:szCs w:val="28"/>
        </w:rPr>
        <w:t xml:space="preserve">нистрации Маловишерского муниципального района от 28 декабря 2015 года № 1053;  </w:t>
      </w:r>
    </w:p>
    <w:p w:rsidR="00AF2B6D" w:rsidRPr="00AF2B6D" w:rsidRDefault="00AF2B6D" w:rsidP="00AF2B6D">
      <w:pPr>
        <w:ind w:firstLine="709"/>
        <w:jc w:val="both"/>
        <w:rPr>
          <w:i/>
          <w:szCs w:val="28"/>
        </w:rPr>
      </w:pPr>
      <w:r w:rsidRPr="00AF2B6D">
        <w:rPr>
          <w:szCs w:val="28"/>
        </w:rPr>
        <w:t xml:space="preserve"> - нарушение постановления Администрации Маловишерского муниципального района от 21.11.2011 года №645 «Об утверждении порядка определения объёма и условий предоставления субсидии на иные цели муниципальным бюджетным и автономным учреждениям из бюджета муниципал</w:t>
      </w:r>
      <w:r w:rsidRPr="00AF2B6D">
        <w:rPr>
          <w:szCs w:val="28"/>
        </w:rPr>
        <w:t>ь</w:t>
      </w:r>
      <w:r w:rsidRPr="00AF2B6D">
        <w:rPr>
          <w:szCs w:val="28"/>
        </w:rPr>
        <w:t>ного района»</w:t>
      </w:r>
      <w:r w:rsidRPr="00AF2B6D">
        <w:rPr>
          <w:b/>
          <w:i/>
          <w:szCs w:val="28"/>
        </w:rPr>
        <w:t xml:space="preserve"> </w:t>
      </w:r>
      <w:r w:rsidRPr="005D16FC">
        <w:rPr>
          <w:szCs w:val="28"/>
        </w:rPr>
        <w:t>(субсидия на иные цели представлена Учреждению в отсутс</w:t>
      </w:r>
      <w:r w:rsidRPr="005D16FC">
        <w:rPr>
          <w:szCs w:val="28"/>
        </w:rPr>
        <w:t>т</w:t>
      </w:r>
      <w:r w:rsidRPr="005D16FC">
        <w:rPr>
          <w:szCs w:val="28"/>
        </w:rPr>
        <w:t>вие заключенного Соглашения</w:t>
      </w:r>
      <w:r w:rsidRPr="00AF2B6D">
        <w:rPr>
          <w:i/>
          <w:szCs w:val="28"/>
        </w:rPr>
        <w:t>);</w:t>
      </w:r>
    </w:p>
    <w:p w:rsidR="00AF2B6D" w:rsidRPr="00AF2B6D" w:rsidRDefault="00AF2B6D" w:rsidP="00AF2B6D">
      <w:pPr>
        <w:ind w:firstLine="709"/>
        <w:jc w:val="both"/>
        <w:rPr>
          <w:i/>
          <w:szCs w:val="28"/>
        </w:rPr>
      </w:pPr>
      <w:r w:rsidRPr="00AF2B6D">
        <w:rPr>
          <w:szCs w:val="28"/>
        </w:rPr>
        <w:t>- нарушения требований Приказа комитета культуры Маловишерского муниципального района от 26.11.2010г. №31, определяющего порядок составл</w:t>
      </w:r>
      <w:r w:rsidRPr="00AF2B6D">
        <w:rPr>
          <w:szCs w:val="28"/>
        </w:rPr>
        <w:t>е</w:t>
      </w:r>
      <w:r w:rsidRPr="00AF2B6D">
        <w:rPr>
          <w:szCs w:val="28"/>
        </w:rPr>
        <w:t>ния и утверждения плана ФХД. (</w:t>
      </w:r>
      <w:r w:rsidRPr="005D16FC">
        <w:rPr>
          <w:szCs w:val="28"/>
        </w:rPr>
        <w:t>план ФХД составлен на один финансовый (2017) год, хотя табличная часть содержит сведения  и на плановый пер</w:t>
      </w:r>
      <w:r w:rsidRPr="005D16FC">
        <w:rPr>
          <w:szCs w:val="28"/>
        </w:rPr>
        <w:t>и</w:t>
      </w:r>
      <w:r w:rsidRPr="005D16FC">
        <w:rPr>
          <w:szCs w:val="28"/>
        </w:rPr>
        <w:t>од;   плановые показатели субсидии на финансовое обеспечение выполнения муниципального задания сформированы Учреждением без выделения субс</w:t>
      </w:r>
      <w:r w:rsidRPr="005D16FC">
        <w:rPr>
          <w:szCs w:val="28"/>
        </w:rPr>
        <w:t>и</w:t>
      </w:r>
      <w:r w:rsidRPr="005D16FC">
        <w:rPr>
          <w:szCs w:val="28"/>
        </w:rPr>
        <w:t xml:space="preserve">дий, предоставляемых в соответствии с </w:t>
      </w:r>
      <w:hyperlink r:id="rId13" w:history="1">
        <w:r w:rsidRPr="005D16FC">
          <w:rPr>
            <w:szCs w:val="28"/>
          </w:rPr>
          <w:t>абзацем вторым пункта 1 статьи 78.1</w:t>
        </w:r>
      </w:hyperlink>
      <w:r w:rsidRPr="005D16FC">
        <w:rPr>
          <w:szCs w:val="28"/>
        </w:rPr>
        <w:t xml:space="preserve"> Бюджетного кодекса Российской Федерации (на иные цели)).</w:t>
      </w:r>
    </w:p>
    <w:p w:rsidR="00AF2B6D" w:rsidRPr="005D16FC" w:rsidRDefault="00AF2B6D" w:rsidP="005D16FC">
      <w:pPr>
        <w:autoSpaceDE w:val="0"/>
        <w:autoSpaceDN w:val="0"/>
        <w:adjustRightInd w:val="0"/>
        <w:ind w:firstLine="709"/>
        <w:rPr>
          <w:szCs w:val="28"/>
        </w:rPr>
      </w:pPr>
      <w:r w:rsidRPr="005D16FC">
        <w:rPr>
          <w:szCs w:val="28"/>
        </w:rPr>
        <w:t>нарушения, содержащие признаки административного правонарушения:</w:t>
      </w:r>
    </w:p>
    <w:p w:rsidR="00AF2B6D" w:rsidRPr="00AF2B6D" w:rsidRDefault="00AF2B6D" w:rsidP="00AF2B6D">
      <w:pPr>
        <w:pStyle w:val="1"/>
        <w:ind w:firstLine="709"/>
        <w:jc w:val="both"/>
        <w:rPr>
          <w:b w:val="0"/>
          <w:szCs w:val="28"/>
        </w:rPr>
      </w:pPr>
      <w:r w:rsidRPr="00AF2B6D">
        <w:rPr>
          <w:szCs w:val="28"/>
        </w:rPr>
        <w:t>-</w:t>
      </w:r>
      <w:r w:rsidRPr="00AF2B6D">
        <w:rPr>
          <w:b w:val="0"/>
          <w:szCs w:val="28"/>
        </w:rPr>
        <w:t xml:space="preserve"> нарушение статьи 15.14 «</w:t>
      </w:r>
      <w:r w:rsidRPr="00AF2B6D">
        <w:rPr>
          <w:b w:val="0"/>
          <w:bCs/>
          <w:szCs w:val="28"/>
        </w:rPr>
        <w:t>Нецелевое использование бюджетных средств</w:t>
      </w:r>
      <w:r w:rsidRPr="00AF2B6D">
        <w:rPr>
          <w:rStyle w:val="hl"/>
          <w:b w:val="0"/>
          <w:szCs w:val="28"/>
        </w:rPr>
        <w:t xml:space="preserve">» </w:t>
      </w:r>
      <w:r w:rsidRPr="00AF2B6D">
        <w:rPr>
          <w:szCs w:val="28"/>
        </w:rPr>
        <w:t xml:space="preserve"> </w:t>
      </w:r>
      <w:r w:rsidRPr="00AF2B6D">
        <w:rPr>
          <w:b w:val="0"/>
          <w:szCs w:val="28"/>
        </w:rPr>
        <w:t>КОАП РФ. Ущерб, причиненный бюджету муниципального района составил 20,6 тыс. рублей, денежные средства возмещены в полном объеме.</w:t>
      </w:r>
    </w:p>
    <w:p w:rsidR="00AF2B6D" w:rsidRPr="00AF2B6D" w:rsidRDefault="00AF2B6D" w:rsidP="00AF2B6D">
      <w:pPr>
        <w:ind w:firstLine="709"/>
        <w:jc w:val="both"/>
        <w:rPr>
          <w:szCs w:val="28"/>
        </w:rPr>
      </w:pPr>
      <w:r w:rsidRPr="005D16FC">
        <w:rPr>
          <w:rStyle w:val="af3"/>
          <w:b w:val="0"/>
          <w:szCs w:val="28"/>
        </w:rPr>
        <w:t>2)</w:t>
      </w:r>
      <w:r w:rsidRPr="00AF2B6D">
        <w:rPr>
          <w:rStyle w:val="af3"/>
          <w:szCs w:val="28"/>
        </w:rPr>
        <w:t xml:space="preserve"> </w:t>
      </w:r>
      <w:r w:rsidRPr="00AF2B6D">
        <w:rPr>
          <w:rStyle w:val="af3"/>
          <w:b w:val="0"/>
          <w:szCs w:val="28"/>
        </w:rPr>
        <w:t>В</w:t>
      </w:r>
      <w:r w:rsidRPr="00AF2B6D">
        <w:rPr>
          <w:szCs w:val="28"/>
        </w:rPr>
        <w:t xml:space="preserve"> комитете культуры Администрации Маловишерского муниципальн</w:t>
      </w:r>
      <w:r w:rsidRPr="00AF2B6D">
        <w:rPr>
          <w:szCs w:val="28"/>
        </w:rPr>
        <w:t>о</w:t>
      </w:r>
      <w:r w:rsidRPr="00AF2B6D">
        <w:rPr>
          <w:szCs w:val="28"/>
        </w:rPr>
        <w:t xml:space="preserve">го района выявлено следующее: </w:t>
      </w:r>
    </w:p>
    <w:p w:rsidR="00AF2B6D" w:rsidRPr="005D16FC" w:rsidRDefault="00AF2B6D" w:rsidP="00AF2B6D">
      <w:pPr>
        <w:autoSpaceDE w:val="0"/>
        <w:autoSpaceDN w:val="0"/>
        <w:adjustRightInd w:val="0"/>
        <w:ind w:firstLine="709"/>
        <w:jc w:val="both"/>
        <w:rPr>
          <w:szCs w:val="28"/>
        </w:rPr>
      </w:pPr>
      <w:r w:rsidRPr="005D16FC">
        <w:rPr>
          <w:szCs w:val="28"/>
        </w:rPr>
        <w:t>нарушения, не содержащие признаки административного правонар</w:t>
      </w:r>
      <w:r w:rsidRPr="005D16FC">
        <w:rPr>
          <w:szCs w:val="28"/>
        </w:rPr>
        <w:t>у</w:t>
      </w:r>
      <w:r w:rsidRPr="005D16FC">
        <w:rPr>
          <w:szCs w:val="28"/>
        </w:rPr>
        <w:t>шения:</w:t>
      </w:r>
    </w:p>
    <w:p w:rsidR="00AF2B6D" w:rsidRPr="00AF2B6D" w:rsidRDefault="00AF2B6D" w:rsidP="00AF2B6D">
      <w:pPr>
        <w:ind w:firstLine="709"/>
        <w:jc w:val="both"/>
        <w:rPr>
          <w:szCs w:val="28"/>
        </w:rPr>
      </w:pPr>
      <w:r w:rsidRPr="00AF2B6D">
        <w:rPr>
          <w:szCs w:val="28"/>
        </w:rPr>
        <w:t xml:space="preserve">- нарушение Бюджетного Кодекса РФ; </w:t>
      </w:r>
    </w:p>
    <w:p w:rsidR="00AF2B6D" w:rsidRPr="00AF2B6D" w:rsidRDefault="00AF2B6D" w:rsidP="00AF2B6D">
      <w:pPr>
        <w:autoSpaceDE w:val="0"/>
        <w:autoSpaceDN w:val="0"/>
        <w:adjustRightInd w:val="0"/>
        <w:ind w:firstLine="709"/>
        <w:jc w:val="both"/>
        <w:rPr>
          <w:b/>
          <w:i/>
          <w:szCs w:val="28"/>
          <w:u w:val="single"/>
        </w:rPr>
      </w:pPr>
      <w:r w:rsidRPr="00AF2B6D">
        <w:rPr>
          <w:szCs w:val="28"/>
        </w:rPr>
        <w:t>- нарушения норм Положения о формировании муниципального задания муниципальным учреждениям муниципального района и финансовом обеспечении выполнения этого задания, утвержденного постановлением Адм</w:t>
      </w:r>
      <w:r w:rsidRPr="00AF2B6D">
        <w:rPr>
          <w:szCs w:val="28"/>
        </w:rPr>
        <w:t>и</w:t>
      </w:r>
      <w:r w:rsidRPr="00AF2B6D">
        <w:rPr>
          <w:szCs w:val="28"/>
        </w:rPr>
        <w:t xml:space="preserve">нистрации Маловишерского муниципального района от 28 декабря 2015 года № 1053 </w:t>
      </w:r>
      <w:r w:rsidRPr="005D16FC">
        <w:rPr>
          <w:szCs w:val="28"/>
        </w:rPr>
        <w:t>(муниципальные задания для подведомственных учреждений форм</w:t>
      </w:r>
      <w:r w:rsidRPr="005D16FC">
        <w:rPr>
          <w:szCs w:val="28"/>
        </w:rPr>
        <w:t>и</w:t>
      </w:r>
      <w:r w:rsidRPr="005D16FC">
        <w:rPr>
          <w:szCs w:val="28"/>
        </w:rPr>
        <w:t>ровались по основному виду деятельности;  форма, по которой доведены муниципальные задания, не соответствуют утвержденной; изменения в м</w:t>
      </w:r>
      <w:r w:rsidRPr="005D16FC">
        <w:rPr>
          <w:szCs w:val="28"/>
        </w:rPr>
        <w:t>у</w:t>
      </w:r>
      <w:r w:rsidRPr="005D16FC">
        <w:rPr>
          <w:szCs w:val="28"/>
        </w:rPr>
        <w:t>ниципальные задания не вносились; неправомерное установление органом, осуществляющим функции и полномочия учредителя, в муниципальных зад</w:t>
      </w:r>
      <w:r w:rsidRPr="005D16FC">
        <w:rPr>
          <w:szCs w:val="28"/>
        </w:rPr>
        <w:t>а</w:t>
      </w:r>
      <w:r w:rsidRPr="005D16FC">
        <w:rPr>
          <w:szCs w:val="28"/>
        </w:rPr>
        <w:t>ниях допустимых (возможных) отклонений в процентах от установленных показателей объёма и качества муниципальных услуг</w:t>
      </w:r>
      <w:r w:rsidRPr="00AF2B6D">
        <w:rPr>
          <w:szCs w:val="28"/>
        </w:rPr>
        <w:t xml:space="preserve">);  </w:t>
      </w:r>
    </w:p>
    <w:p w:rsidR="00AF2B6D" w:rsidRPr="00AF2B6D" w:rsidRDefault="00AF2B6D" w:rsidP="00AF2B6D">
      <w:pPr>
        <w:autoSpaceDE w:val="0"/>
        <w:autoSpaceDN w:val="0"/>
        <w:adjustRightInd w:val="0"/>
        <w:ind w:firstLine="709"/>
        <w:jc w:val="both"/>
        <w:rPr>
          <w:szCs w:val="28"/>
        </w:rPr>
      </w:pPr>
      <w:r w:rsidRPr="00AF2B6D">
        <w:rPr>
          <w:szCs w:val="28"/>
        </w:rPr>
        <w:t>- нарушение постановления Администрации Маловишерского муниципального района от 21.11.2011 года №645 «Об утверждении порядка определения объёма и условий предоставления субсидии на иные цели муниципальным бюджетным и автономным учреждениям из бюджета муниципал</w:t>
      </w:r>
      <w:r w:rsidRPr="00AF2B6D">
        <w:rPr>
          <w:szCs w:val="28"/>
        </w:rPr>
        <w:t>ь</w:t>
      </w:r>
      <w:r w:rsidRPr="00AF2B6D">
        <w:rPr>
          <w:szCs w:val="28"/>
        </w:rPr>
        <w:t>ного района»;</w:t>
      </w:r>
    </w:p>
    <w:p w:rsidR="00AF2B6D" w:rsidRPr="00AF2B6D" w:rsidRDefault="00AF2B6D" w:rsidP="00AF2B6D">
      <w:pPr>
        <w:autoSpaceDE w:val="0"/>
        <w:autoSpaceDN w:val="0"/>
        <w:adjustRightInd w:val="0"/>
        <w:ind w:firstLine="709"/>
        <w:jc w:val="both"/>
        <w:rPr>
          <w:szCs w:val="28"/>
        </w:rPr>
      </w:pPr>
      <w:r w:rsidRPr="00AF2B6D">
        <w:rPr>
          <w:szCs w:val="28"/>
        </w:rPr>
        <w:t>- нарушения требований Приказа комитета культуры Маловишерского м</w:t>
      </w:r>
      <w:r w:rsidRPr="00AF2B6D">
        <w:rPr>
          <w:szCs w:val="28"/>
        </w:rPr>
        <w:t>у</w:t>
      </w:r>
      <w:r w:rsidRPr="00AF2B6D">
        <w:rPr>
          <w:szCs w:val="28"/>
        </w:rPr>
        <w:t>ниципального района от 26.11.2010г. №31.</w:t>
      </w:r>
    </w:p>
    <w:p w:rsidR="00AF2B6D" w:rsidRPr="005D16FC" w:rsidRDefault="00AF2B6D" w:rsidP="005D16FC">
      <w:pPr>
        <w:autoSpaceDE w:val="0"/>
        <w:autoSpaceDN w:val="0"/>
        <w:adjustRightInd w:val="0"/>
        <w:ind w:firstLine="709"/>
        <w:rPr>
          <w:szCs w:val="28"/>
        </w:rPr>
      </w:pPr>
      <w:r w:rsidRPr="005D16FC">
        <w:rPr>
          <w:szCs w:val="28"/>
        </w:rPr>
        <w:t>нарушения, содержащие признаки административного правонарушения:</w:t>
      </w:r>
    </w:p>
    <w:p w:rsidR="00AF2B6D" w:rsidRPr="00AF2B6D" w:rsidRDefault="00AF2B6D" w:rsidP="00AF2B6D">
      <w:pPr>
        <w:pStyle w:val="1"/>
        <w:ind w:firstLine="709"/>
        <w:jc w:val="both"/>
        <w:rPr>
          <w:i/>
          <w:szCs w:val="28"/>
        </w:rPr>
      </w:pPr>
      <w:r w:rsidRPr="00AF2B6D">
        <w:rPr>
          <w:szCs w:val="28"/>
        </w:rPr>
        <w:lastRenderedPageBreak/>
        <w:t>-</w:t>
      </w:r>
      <w:r w:rsidRPr="00AF2B6D">
        <w:rPr>
          <w:b w:val="0"/>
          <w:szCs w:val="28"/>
        </w:rPr>
        <w:t xml:space="preserve"> нарушение статьи 15.15.15 «Нарушение порядка формирования госуда</w:t>
      </w:r>
      <w:r w:rsidRPr="00AF2B6D">
        <w:rPr>
          <w:b w:val="0"/>
          <w:szCs w:val="28"/>
        </w:rPr>
        <w:t>р</w:t>
      </w:r>
      <w:r w:rsidRPr="00AF2B6D">
        <w:rPr>
          <w:b w:val="0"/>
          <w:szCs w:val="28"/>
        </w:rPr>
        <w:t>ственного (муниципального) задания</w:t>
      </w:r>
      <w:r w:rsidRPr="00AF2B6D">
        <w:rPr>
          <w:rStyle w:val="hl"/>
          <w:b w:val="0"/>
          <w:szCs w:val="28"/>
        </w:rPr>
        <w:t xml:space="preserve">» </w:t>
      </w:r>
      <w:r w:rsidRPr="00AF2B6D">
        <w:rPr>
          <w:b w:val="0"/>
          <w:szCs w:val="28"/>
        </w:rPr>
        <w:t xml:space="preserve"> КОАП РФ</w:t>
      </w:r>
      <w:r w:rsidRPr="005D16FC">
        <w:rPr>
          <w:b w:val="0"/>
          <w:szCs w:val="28"/>
        </w:rPr>
        <w:t xml:space="preserve">. </w:t>
      </w:r>
      <w:r w:rsidRPr="005D16FC">
        <w:rPr>
          <w:szCs w:val="28"/>
        </w:rPr>
        <w:t xml:space="preserve">   </w:t>
      </w:r>
      <w:r w:rsidRPr="005D16FC">
        <w:rPr>
          <w:b w:val="0"/>
          <w:szCs w:val="28"/>
        </w:rPr>
        <w:t xml:space="preserve">В нарушение части 3 статьи 69.2 Бюджетного Кодекса РФ муниципальное задание для </w:t>
      </w:r>
      <w:r w:rsidRPr="005D16FC">
        <w:rPr>
          <w:rStyle w:val="aff9"/>
          <w:b w:val="0"/>
          <w:color w:val="000000"/>
          <w:szCs w:val="28"/>
        </w:rPr>
        <w:t>МБУК «Маловишерская МЦБС»</w:t>
      </w:r>
      <w:r w:rsidRPr="005D16FC">
        <w:rPr>
          <w:b w:val="0"/>
          <w:szCs w:val="28"/>
        </w:rPr>
        <w:t xml:space="preserve"> сформировано и утверждено на один финансовый 2017 год (без планового периода), в то время как бюджет муниципального района утверждён на три год в соответствии с решением Думы Малов</w:t>
      </w:r>
      <w:r w:rsidRPr="005D16FC">
        <w:rPr>
          <w:b w:val="0"/>
          <w:szCs w:val="28"/>
        </w:rPr>
        <w:t>и</w:t>
      </w:r>
      <w:r w:rsidRPr="005D16FC">
        <w:rPr>
          <w:b w:val="0"/>
          <w:szCs w:val="28"/>
        </w:rPr>
        <w:t>шерского муниципального района от 28.12.2016 №143 «Об утверждении бюджета муниципального района на 2017 год и на плановый период 2018 и 2019 годов» ( далее- решение о бюджете)</w:t>
      </w:r>
      <w:r w:rsidRPr="00AF2B6D">
        <w:rPr>
          <w:b w:val="0"/>
          <w:i/>
          <w:szCs w:val="28"/>
        </w:rPr>
        <w:t>.</w:t>
      </w:r>
    </w:p>
    <w:p w:rsidR="00AF2B6D" w:rsidRPr="005D16FC" w:rsidRDefault="00AF2B6D" w:rsidP="00AF2B6D">
      <w:pPr>
        <w:autoSpaceDE w:val="0"/>
        <w:autoSpaceDN w:val="0"/>
        <w:adjustRightInd w:val="0"/>
        <w:ind w:firstLine="709"/>
        <w:jc w:val="both"/>
        <w:rPr>
          <w:rStyle w:val="aff9"/>
          <w:color w:val="000000"/>
          <w:szCs w:val="28"/>
        </w:rPr>
      </w:pPr>
      <w:r w:rsidRPr="005D16FC">
        <w:rPr>
          <w:szCs w:val="28"/>
        </w:rPr>
        <w:t>Аналогичные нарушения выявлены также по МБУК ММЦНТ и КДД Мал</w:t>
      </w:r>
      <w:r w:rsidRPr="005D16FC">
        <w:rPr>
          <w:szCs w:val="28"/>
        </w:rPr>
        <w:t>о</w:t>
      </w:r>
      <w:r w:rsidRPr="005D16FC">
        <w:rPr>
          <w:szCs w:val="28"/>
        </w:rPr>
        <w:t>вишерского муниципального района, МБУК МРК музей, МБУК ММЦНТ и КДД Маловишерского муниципального района.</w:t>
      </w:r>
    </w:p>
    <w:p w:rsidR="00AF2B6D" w:rsidRPr="00AF2B6D" w:rsidRDefault="00AF2B6D" w:rsidP="00AF2B6D">
      <w:pPr>
        <w:tabs>
          <w:tab w:val="left" w:pos="709"/>
        </w:tabs>
        <w:ind w:firstLine="709"/>
        <w:jc w:val="both"/>
        <w:rPr>
          <w:szCs w:val="28"/>
        </w:rPr>
      </w:pPr>
      <w:r w:rsidRPr="00AF2B6D">
        <w:rPr>
          <w:szCs w:val="28"/>
        </w:rPr>
        <w:t>По результатам проверок, в рамках реализации возложенных на Счётную палату полномочий в сфере административного права в отчетном периоде составлено 2 протокола об административных правонарушениях:  по статье 15.15.15 «Нарушение порядка формирования государственного (муниц</w:t>
      </w:r>
      <w:r w:rsidRPr="00AF2B6D">
        <w:rPr>
          <w:szCs w:val="28"/>
        </w:rPr>
        <w:t>и</w:t>
      </w:r>
      <w:r w:rsidRPr="00AF2B6D">
        <w:rPr>
          <w:szCs w:val="28"/>
        </w:rPr>
        <w:t>пального) задания</w:t>
      </w:r>
      <w:r w:rsidRPr="00AF2B6D">
        <w:rPr>
          <w:rStyle w:val="hl"/>
          <w:szCs w:val="28"/>
        </w:rPr>
        <w:t xml:space="preserve">» </w:t>
      </w:r>
      <w:r w:rsidRPr="00AF2B6D">
        <w:rPr>
          <w:szCs w:val="28"/>
        </w:rPr>
        <w:t xml:space="preserve"> КОАП РФ и  по статье 15.14 «Нецелевое использование бюджетных средств</w:t>
      </w:r>
      <w:r w:rsidRPr="00AF2B6D">
        <w:rPr>
          <w:rStyle w:val="hl"/>
          <w:szCs w:val="28"/>
        </w:rPr>
        <w:t xml:space="preserve">» </w:t>
      </w:r>
      <w:r w:rsidRPr="00AF2B6D">
        <w:rPr>
          <w:szCs w:val="28"/>
        </w:rPr>
        <w:t xml:space="preserve"> КОАП РФ. Руководители  учреждений привлечены к административной ответственности в виде штрафа в размере 10 тыс. и 20 тыс. рублей соответственно.</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3)  В рамках совместной проверки использования дорожного фонда Новг</w:t>
      </w:r>
      <w:r w:rsidRPr="00AF2B6D">
        <w:rPr>
          <w:rFonts w:ascii="Times New Roman" w:hAnsi="Times New Roman"/>
          <w:sz w:val="28"/>
          <w:szCs w:val="28"/>
        </w:rPr>
        <w:t>о</w:t>
      </w:r>
      <w:r w:rsidRPr="00AF2B6D">
        <w:rPr>
          <w:rFonts w:ascii="Times New Roman" w:hAnsi="Times New Roman"/>
          <w:sz w:val="28"/>
          <w:szCs w:val="28"/>
        </w:rPr>
        <w:t>родской области Счётной палатой Маловишерского муниципального района было проведено контрольное мероприятие по соблюдению законности и результативности использования субсидии направленной на строительство а</w:t>
      </w:r>
      <w:r w:rsidRPr="00AF2B6D">
        <w:rPr>
          <w:rFonts w:ascii="Times New Roman" w:hAnsi="Times New Roman"/>
          <w:sz w:val="28"/>
          <w:szCs w:val="28"/>
        </w:rPr>
        <w:t>в</w:t>
      </w:r>
      <w:r w:rsidRPr="00AF2B6D">
        <w:rPr>
          <w:rFonts w:ascii="Times New Roman" w:hAnsi="Times New Roman"/>
          <w:sz w:val="28"/>
          <w:szCs w:val="28"/>
        </w:rPr>
        <w:t>томобильной дороги к многоквартирным домам по ул. Сосновая в г. Малая Вишера, Новгородской области.</w:t>
      </w:r>
    </w:p>
    <w:p w:rsidR="00AF2B6D" w:rsidRPr="00AF2B6D" w:rsidRDefault="00AF2B6D" w:rsidP="00AF2B6D">
      <w:pPr>
        <w:pStyle w:val="af"/>
        <w:spacing w:before="0" w:beforeAutospacing="0" w:after="0" w:afterAutospacing="0"/>
        <w:ind w:firstLine="709"/>
        <w:jc w:val="both"/>
        <w:rPr>
          <w:rFonts w:ascii="Times New Roman" w:hAnsi="Times New Roman"/>
          <w:b/>
          <w:i/>
          <w:sz w:val="28"/>
          <w:szCs w:val="28"/>
          <w:u w:val="single"/>
        </w:rPr>
      </w:pPr>
      <w:r w:rsidRPr="00AF2B6D">
        <w:rPr>
          <w:rFonts w:ascii="Times New Roman" w:hAnsi="Times New Roman"/>
          <w:sz w:val="28"/>
          <w:szCs w:val="28"/>
        </w:rPr>
        <w:t xml:space="preserve">В результате указанного мероприятия установлены отдельные нарушения, </w:t>
      </w:r>
      <w:r w:rsidRPr="005D16FC">
        <w:rPr>
          <w:rFonts w:ascii="Times New Roman" w:hAnsi="Times New Roman"/>
          <w:sz w:val="28"/>
          <w:szCs w:val="28"/>
        </w:rPr>
        <w:t>не содержащие признаки административного правонарушения:</w:t>
      </w:r>
    </w:p>
    <w:p w:rsidR="00AF2B6D" w:rsidRPr="00AF2B6D" w:rsidRDefault="00AF2B6D" w:rsidP="00AF2B6D">
      <w:pPr>
        <w:ind w:firstLine="709"/>
        <w:jc w:val="both"/>
        <w:rPr>
          <w:szCs w:val="28"/>
        </w:rPr>
      </w:pPr>
      <w:r w:rsidRPr="00AF2B6D">
        <w:rPr>
          <w:szCs w:val="28"/>
        </w:rPr>
        <w:t>- нарушение Бюджетного Кодекса РФ, выразившееся в несоблюдении принципа результативности и эффективности использования бюджетных средств, закреплённого статьёй 34 Бюджетного кодекса РФ в размере 0,9 тыс. рублей (выявлен факт завышения сметной стоимости работ при строительс</w:t>
      </w:r>
      <w:r w:rsidRPr="00AF2B6D">
        <w:rPr>
          <w:szCs w:val="28"/>
        </w:rPr>
        <w:t>т</w:t>
      </w:r>
      <w:r w:rsidRPr="00AF2B6D">
        <w:rPr>
          <w:szCs w:val="28"/>
        </w:rPr>
        <w:t>ве автомобильной дороги);</w:t>
      </w:r>
    </w:p>
    <w:p w:rsidR="00AF2B6D" w:rsidRPr="00AF2B6D" w:rsidRDefault="00AF2B6D" w:rsidP="00AF2B6D">
      <w:pPr>
        <w:ind w:firstLine="709"/>
        <w:jc w:val="both"/>
        <w:rPr>
          <w:szCs w:val="28"/>
        </w:rPr>
      </w:pPr>
      <w:r w:rsidRPr="00AF2B6D">
        <w:rPr>
          <w:szCs w:val="28"/>
        </w:rPr>
        <w:t>- нарушение норм федерального законодательства, выразившееся в определении начальной (максимальной) цены контракта в плане-графике с наруш</w:t>
      </w:r>
      <w:r w:rsidRPr="00AF2B6D">
        <w:rPr>
          <w:szCs w:val="28"/>
        </w:rPr>
        <w:t>е</w:t>
      </w:r>
      <w:r w:rsidRPr="00AF2B6D">
        <w:rPr>
          <w:szCs w:val="28"/>
        </w:rPr>
        <w:t>нием требований, нарушения оформления первичных документов</w:t>
      </w:r>
    </w:p>
    <w:p w:rsidR="00AF2B6D" w:rsidRPr="00AF2B6D" w:rsidRDefault="00AF2B6D" w:rsidP="00AF2B6D">
      <w:pPr>
        <w:pStyle w:val="af"/>
        <w:spacing w:before="0" w:beforeAutospacing="0" w:after="0" w:afterAutospacing="0"/>
        <w:ind w:firstLine="709"/>
        <w:jc w:val="both"/>
        <w:rPr>
          <w:rFonts w:ascii="Times New Roman" w:hAnsi="Times New Roman"/>
          <w:color w:val="000000"/>
          <w:sz w:val="28"/>
          <w:szCs w:val="28"/>
        </w:rPr>
      </w:pPr>
      <w:r w:rsidRPr="00AF2B6D">
        <w:rPr>
          <w:rFonts w:ascii="Times New Roman" w:hAnsi="Times New Roman"/>
          <w:sz w:val="28"/>
          <w:szCs w:val="28"/>
        </w:rPr>
        <w:t>4) Совместно со Счётной палатой Новгородской области было проведено контрольное мероприятие по соблюдению  целевого и эффективного испол</w:t>
      </w:r>
      <w:r w:rsidRPr="00AF2B6D">
        <w:rPr>
          <w:rFonts w:ascii="Times New Roman" w:hAnsi="Times New Roman"/>
          <w:sz w:val="28"/>
          <w:szCs w:val="28"/>
        </w:rPr>
        <w:t>ь</w:t>
      </w:r>
      <w:r w:rsidRPr="00AF2B6D">
        <w:rPr>
          <w:rFonts w:ascii="Times New Roman" w:hAnsi="Times New Roman"/>
          <w:sz w:val="28"/>
          <w:szCs w:val="28"/>
        </w:rPr>
        <w:t>зования бюджетных средств, направленных на реализацию приоритетного проекта «Формирование комфортной городской среды»</w:t>
      </w:r>
    </w:p>
    <w:p w:rsidR="00AF2B6D" w:rsidRPr="00AF2B6D" w:rsidRDefault="00AF2B6D" w:rsidP="00AF2B6D">
      <w:pPr>
        <w:pStyle w:val="af"/>
        <w:spacing w:before="0" w:beforeAutospacing="0" w:after="0" w:afterAutospacing="0"/>
        <w:ind w:firstLine="709"/>
        <w:jc w:val="both"/>
        <w:rPr>
          <w:rFonts w:ascii="Times New Roman" w:hAnsi="Times New Roman"/>
          <w:b/>
          <w:i/>
          <w:sz w:val="28"/>
          <w:szCs w:val="28"/>
          <w:u w:val="single"/>
        </w:rPr>
      </w:pPr>
      <w:r w:rsidRPr="00AF2B6D">
        <w:rPr>
          <w:rFonts w:ascii="Times New Roman" w:hAnsi="Times New Roman"/>
          <w:sz w:val="28"/>
          <w:szCs w:val="28"/>
        </w:rPr>
        <w:t xml:space="preserve">В результате указанного мероприятия установлены отдельные нарушения, </w:t>
      </w:r>
      <w:r w:rsidRPr="005D16FC">
        <w:rPr>
          <w:rFonts w:ascii="Times New Roman" w:hAnsi="Times New Roman"/>
          <w:sz w:val="28"/>
          <w:szCs w:val="28"/>
        </w:rPr>
        <w:t>не содержащие признаки административного правонарушения:</w:t>
      </w:r>
    </w:p>
    <w:p w:rsidR="00AF2B6D" w:rsidRPr="00AF2B6D" w:rsidRDefault="00AF2B6D" w:rsidP="00AF2B6D">
      <w:pPr>
        <w:ind w:firstLine="709"/>
        <w:jc w:val="both"/>
        <w:rPr>
          <w:szCs w:val="28"/>
        </w:rPr>
      </w:pPr>
      <w:r w:rsidRPr="00AF2B6D">
        <w:rPr>
          <w:szCs w:val="28"/>
        </w:rPr>
        <w:t>- нарушение Бюджетного Кодекса РФ, выразившееся в несоблюдении принципа результативности и эффективности использования бюджетных средств, закреплённого статьёй 34 Бюджетного кодекса РФ в размере 7,4 тыс. рублей;</w:t>
      </w:r>
    </w:p>
    <w:p w:rsidR="00AF2B6D" w:rsidRPr="00AF2B6D" w:rsidRDefault="00AF2B6D" w:rsidP="00AF2B6D">
      <w:pPr>
        <w:ind w:firstLine="709"/>
        <w:jc w:val="both"/>
        <w:rPr>
          <w:szCs w:val="28"/>
        </w:rPr>
      </w:pPr>
      <w:r w:rsidRPr="00AF2B6D">
        <w:rPr>
          <w:szCs w:val="28"/>
        </w:rPr>
        <w:lastRenderedPageBreak/>
        <w:t>- отсутствии бухгалтерского  и оперативного учета нефинансовых активов в части основных средств объектов благоустройства;</w:t>
      </w:r>
    </w:p>
    <w:p w:rsidR="00AF2B6D" w:rsidRPr="00AF2B6D" w:rsidRDefault="00AF2B6D" w:rsidP="00AF2B6D">
      <w:pPr>
        <w:ind w:firstLine="709"/>
        <w:jc w:val="both"/>
        <w:rPr>
          <w:szCs w:val="28"/>
        </w:rPr>
      </w:pPr>
      <w:r w:rsidRPr="00AF2B6D">
        <w:rPr>
          <w:szCs w:val="28"/>
        </w:rPr>
        <w:t>- нарушение норм федерального законодательства, выразившееся в наруш</w:t>
      </w:r>
      <w:r w:rsidRPr="00AF2B6D">
        <w:rPr>
          <w:szCs w:val="28"/>
        </w:rPr>
        <w:t>е</w:t>
      </w:r>
      <w:r w:rsidRPr="00AF2B6D">
        <w:rPr>
          <w:szCs w:val="28"/>
        </w:rPr>
        <w:t>ние срока подписания и размещения в ЕИС протокола рассмотрения заявок на участие в аукционе.</w:t>
      </w:r>
    </w:p>
    <w:p w:rsidR="00AF2B6D" w:rsidRPr="00AF2B6D" w:rsidRDefault="00AF2B6D" w:rsidP="00AF2B6D">
      <w:pPr>
        <w:ind w:firstLine="709"/>
        <w:jc w:val="both"/>
        <w:rPr>
          <w:szCs w:val="28"/>
        </w:rPr>
      </w:pPr>
      <w:r w:rsidRPr="00AF2B6D">
        <w:rPr>
          <w:szCs w:val="28"/>
        </w:rPr>
        <w:t>Заказчиком МКУ «Служба заказчика» только по двум последним проверкам  не обеспечена работа по поступлению неустойки в бюджет муниципал</w:t>
      </w:r>
      <w:r w:rsidRPr="00AF2B6D">
        <w:rPr>
          <w:szCs w:val="28"/>
        </w:rPr>
        <w:t>ь</w:t>
      </w:r>
      <w:r w:rsidRPr="00AF2B6D">
        <w:rPr>
          <w:szCs w:val="28"/>
        </w:rPr>
        <w:t xml:space="preserve">ного района  в связи с нарушением подрядчиком срока исполнения контракта в общей сумме  733,7 тыс. рублей. </w:t>
      </w:r>
    </w:p>
    <w:p w:rsidR="00AF2B6D" w:rsidRPr="00AF2B6D" w:rsidRDefault="00AF2B6D" w:rsidP="005D16FC">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color w:val="000000"/>
          <w:sz w:val="28"/>
          <w:szCs w:val="28"/>
        </w:rPr>
        <w:t>Согласно статье 98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к полномочиям Счётной палаты относится осуществление а</w:t>
      </w:r>
      <w:r w:rsidRPr="00AF2B6D">
        <w:rPr>
          <w:rFonts w:ascii="Times New Roman" w:hAnsi="Times New Roman"/>
          <w:color w:val="000000"/>
          <w:sz w:val="28"/>
          <w:szCs w:val="28"/>
        </w:rPr>
        <w:t>у</w:t>
      </w:r>
      <w:r w:rsidRPr="00AF2B6D">
        <w:rPr>
          <w:rFonts w:ascii="Times New Roman" w:hAnsi="Times New Roman"/>
          <w:color w:val="000000"/>
          <w:sz w:val="28"/>
          <w:szCs w:val="28"/>
        </w:rPr>
        <w:t>дита в сфере закупок.  В соответствии с годовым планом работы Счётной п</w:t>
      </w:r>
      <w:r w:rsidRPr="00AF2B6D">
        <w:rPr>
          <w:rFonts w:ascii="Times New Roman" w:hAnsi="Times New Roman"/>
          <w:color w:val="000000"/>
          <w:sz w:val="28"/>
          <w:szCs w:val="28"/>
        </w:rPr>
        <w:t>а</w:t>
      </w:r>
      <w:r w:rsidRPr="00AF2B6D">
        <w:rPr>
          <w:rFonts w:ascii="Times New Roman" w:hAnsi="Times New Roman"/>
          <w:color w:val="000000"/>
          <w:sz w:val="28"/>
          <w:szCs w:val="28"/>
        </w:rPr>
        <w:t>латы был проведены анализ и оценка законности, целесообразности, обосн</w:t>
      </w:r>
      <w:r w:rsidRPr="00AF2B6D">
        <w:rPr>
          <w:rFonts w:ascii="Times New Roman" w:hAnsi="Times New Roman"/>
          <w:color w:val="000000"/>
          <w:sz w:val="28"/>
          <w:szCs w:val="28"/>
        </w:rPr>
        <w:t>о</w:t>
      </w:r>
      <w:r w:rsidRPr="00AF2B6D">
        <w:rPr>
          <w:rFonts w:ascii="Times New Roman" w:hAnsi="Times New Roman"/>
          <w:color w:val="000000"/>
          <w:sz w:val="28"/>
          <w:szCs w:val="28"/>
        </w:rPr>
        <w:t>ванности, своевременности, эффективности и результативности расходов на закупки товаров, работ и услуг для муниципальных нужд в Администрации Бургинского сельского поселения. В результате данного мероприятия уст</w:t>
      </w:r>
      <w:r w:rsidRPr="00AF2B6D">
        <w:rPr>
          <w:rFonts w:ascii="Times New Roman" w:hAnsi="Times New Roman"/>
          <w:color w:val="000000"/>
          <w:sz w:val="28"/>
          <w:szCs w:val="28"/>
        </w:rPr>
        <w:t>а</w:t>
      </w:r>
      <w:r w:rsidRPr="00AF2B6D">
        <w:rPr>
          <w:rFonts w:ascii="Times New Roman" w:hAnsi="Times New Roman"/>
          <w:color w:val="000000"/>
          <w:sz w:val="28"/>
          <w:szCs w:val="28"/>
        </w:rPr>
        <w:t>новлено нарушений в сумме 470,3 тыс. рублей (неэффективные расходы), а так же нарушения при осуществлении муниципальных закупок.</w:t>
      </w:r>
    </w:p>
    <w:p w:rsidR="00AF2B6D" w:rsidRPr="00AF2B6D" w:rsidRDefault="00AF2B6D" w:rsidP="005D16FC">
      <w:pPr>
        <w:pStyle w:val="ConsPlusNonformat"/>
        <w:ind w:firstLine="709"/>
        <w:jc w:val="both"/>
        <w:rPr>
          <w:rFonts w:ascii="Times New Roman" w:hAnsi="Times New Roman" w:cs="Times New Roman"/>
          <w:sz w:val="28"/>
          <w:szCs w:val="28"/>
        </w:rPr>
      </w:pPr>
      <w:r w:rsidRPr="00AF2B6D">
        <w:rPr>
          <w:rFonts w:ascii="Times New Roman" w:hAnsi="Times New Roman" w:cs="Times New Roman"/>
          <w:sz w:val="28"/>
          <w:szCs w:val="28"/>
        </w:rPr>
        <w:t>Одной из составляющей работы Счётной палаты в 2018 году было участие в пределах полномочий в мероприятиях, направленных на противоде</w:t>
      </w:r>
      <w:r w:rsidRPr="00AF2B6D">
        <w:rPr>
          <w:rFonts w:ascii="Times New Roman" w:hAnsi="Times New Roman" w:cs="Times New Roman"/>
          <w:sz w:val="28"/>
          <w:szCs w:val="28"/>
        </w:rPr>
        <w:t>й</w:t>
      </w:r>
      <w:r w:rsidRPr="00AF2B6D">
        <w:rPr>
          <w:rFonts w:ascii="Times New Roman" w:hAnsi="Times New Roman" w:cs="Times New Roman"/>
          <w:sz w:val="28"/>
          <w:szCs w:val="28"/>
        </w:rPr>
        <w:t>ствие коррупции. Являясь одним из исполнителей мероприятий подпрогра</w:t>
      </w:r>
      <w:r w:rsidRPr="00AF2B6D">
        <w:rPr>
          <w:rFonts w:ascii="Times New Roman" w:hAnsi="Times New Roman" w:cs="Times New Roman"/>
          <w:sz w:val="28"/>
          <w:szCs w:val="28"/>
        </w:rPr>
        <w:t>м</w:t>
      </w:r>
      <w:r w:rsidRPr="00AF2B6D">
        <w:rPr>
          <w:rFonts w:ascii="Times New Roman" w:hAnsi="Times New Roman" w:cs="Times New Roman"/>
          <w:sz w:val="28"/>
          <w:szCs w:val="28"/>
        </w:rPr>
        <w:t>мы «Противодействие коррупции в Маловишерском муниципальном районе» муниципальной программы «Совершенствование системы муниципального управления в Маловишерском муниципальном районе на 2017-2019 годы»  Счётная палата в отчетном периоде, как и ранее, обращала внимание на в</w:t>
      </w:r>
      <w:r w:rsidRPr="00AF2B6D">
        <w:rPr>
          <w:rFonts w:ascii="Times New Roman" w:hAnsi="Times New Roman" w:cs="Times New Roman"/>
          <w:sz w:val="28"/>
          <w:szCs w:val="28"/>
        </w:rPr>
        <w:t>ы</w:t>
      </w:r>
      <w:r w:rsidRPr="00AF2B6D">
        <w:rPr>
          <w:rFonts w:ascii="Times New Roman" w:hAnsi="Times New Roman" w:cs="Times New Roman"/>
          <w:sz w:val="28"/>
          <w:szCs w:val="28"/>
        </w:rPr>
        <w:t>явление признаков коррупционных правонарушений при осуществлении внешнего муниципального финансового контроля.</w:t>
      </w:r>
    </w:p>
    <w:p w:rsidR="00AF2B6D" w:rsidRPr="00AF2B6D" w:rsidRDefault="00AF2B6D" w:rsidP="00AF2B6D">
      <w:pPr>
        <w:pStyle w:val="ConsPlusNonformat"/>
        <w:ind w:firstLine="709"/>
        <w:jc w:val="both"/>
        <w:rPr>
          <w:rFonts w:ascii="Times New Roman" w:hAnsi="Times New Roman" w:cs="Times New Roman"/>
          <w:sz w:val="28"/>
          <w:szCs w:val="28"/>
        </w:rPr>
      </w:pPr>
      <w:r w:rsidRPr="00AF2B6D">
        <w:rPr>
          <w:rFonts w:ascii="Times New Roman" w:hAnsi="Times New Roman" w:cs="Times New Roman"/>
          <w:sz w:val="28"/>
          <w:szCs w:val="28"/>
        </w:rPr>
        <w:t>Председатель Счётной палаты Маловишерского муниципального района постоянно принимает участие в заседаниях комиссии по противодействию коррупции, в пределах своей компетенции озвучивает информацию согласно плану мероприятий противодействия коррупции.</w:t>
      </w:r>
    </w:p>
    <w:p w:rsidR="00AF2B6D" w:rsidRPr="00AF2B6D" w:rsidRDefault="00AF2B6D" w:rsidP="00AF2B6D">
      <w:pPr>
        <w:ind w:firstLine="709"/>
        <w:jc w:val="both"/>
        <w:rPr>
          <w:szCs w:val="28"/>
        </w:rPr>
      </w:pPr>
      <w:r w:rsidRPr="00AF2B6D">
        <w:rPr>
          <w:szCs w:val="28"/>
        </w:rPr>
        <w:t>В 2019 году будет  продолжена практика проведения эффективности, н</w:t>
      </w:r>
      <w:r w:rsidRPr="00AF2B6D">
        <w:rPr>
          <w:szCs w:val="28"/>
        </w:rPr>
        <w:t>а</w:t>
      </w:r>
      <w:r w:rsidRPr="00AF2B6D">
        <w:rPr>
          <w:szCs w:val="28"/>
        </w:rPr>
        <w:t>правленная на определение экономности и результативности использования бюджетных средств.</w:t>
      </w:r>
    </w:p>
    <w:p w:rsidR="00AF2B6D" w:rsidRPr="00AF2B6D" w:rsidRDefault="00AF2B6D" w:rsidP="00AF2B6D">
      <w:pPr>
        <w:tabs>
          <w:tab w:val="left" w:pos="709"/>
        </w:tabs>
        <w:ind w:firstLine="709"/>
        <w:jc w:val="both"/>
        <w:rPr>
          <w:szCs w:val="28"/>
        </w:rPr>
      </w:pPr>
      <w:r w:rsidRPr="00AF2B6D">
        <w:rPr>
          <w:szCs w:val="28"/>
        </w:rPr>
        <w:t>При планировании деятельности Счётной палаты на следующий период, в целях исключения дублирования функций при осуществлении контрольных мероприятий план работы на 2019 год скоординирован с годовым планом р</w:t>
      </w:r>
      <w:r w:rsidRPr="00AF2B6D">
        <w:rPr>
          <w:szCs w:val="28"/>
        </w:rPr>
        <w:t>а</w:t>
      </w:r>
      <w:r w:rsidRPr="00AF2B6D">
        <w:rPr>
          <w:szCs w:val="28"/>
        </w:rPr>
        <w:t>боты комитета финансов Администрации Маловишерского муниципального района.</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b/>
          <w:bCs/>
          <w:sz w:val="28"/>
          <w:szCs w:val="28"/>
        </w:rPr>
        <w:t>Обеспечение деятельности Счётной палаты</w:t>
      </w:r>
      <w:r w:rsidRPr="00AF2B6D">
        <w:rPr>
          <w:rFonts w:ascii="Times New Roman" w:hAnsi="Times New Roman"/>
          <w:sz w:val="28"/>
          <w:szCs w:val="28"/>
        </w:rPr>
        <w:t> </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На протяжении длительного периода времени (практически с момента создания Счетной палаты) штатная численность палаты не менялась и составл</w:t>
      </w:r>
      <w:r w:rsidRPr="00AF2B6D">
        <w:rPr>
          <w:rFonts w:ascii="Times New Roman" w:hAnsi="Times New Roman"/>
          <w:sz w:val="28"/>
          <w:szCs w:val="28"/>
        </w:rPr>
        <w:t>я</w:t>
      </w:r>
      <w:r w:rsidRPr="00AF2B6D">
        <w:rPr>
          <w:rFonts w:ascii="Times New Roman" w:hAnsi="Times New Roman"/>
          <w:sz w:val="28"/>
          <w:szCs w:val="28"/>
        </w:rPr>
        <w:t>ет 2 единицы. Однако, в связи с произошедшими в последние годы измен</w:t>
      </w:r>
      <w:r w:rsidRPr="00AF2B6D">
        <w:rPr>
          <w:rFonts w:ascii="Times New Roman" w:hAnsi="Times New Roman"/>
          <w:sz w:val="28"/>
          <w:szCs w:val="28"/>
        </w:rPr>
        <w:t>е</w:t>
      </w:r>
      <w:r w:rsidRPr="00AF2B6D">
        <w:rPr>
          <w:rFonts w:ascii="Times New Roman" w:hAnsi="Times New Roman"/>
          <w:sz w:val="28"/>
          <w:szCs w:val="28"/>
        </w:rPr>
        <w:t xml:space="preserve">ниями в </w:t>
      </w:r>
      <w:r w:rsidRPr="00AF2B6D">
        <w:rPr>
          <w:rFonts w:ascii="Times New Roman" w:hAnsi="Times New Roman"/>
          <w:sz w:val="28"/>
          <w:szCs w:val="28"/>
        </w:rPr>
        <w:lastRenderedPageBreak/>
        <w:t>бюджетном законодательстве об административных правонаруш</w:t>
      </w:r>
      <w:r w:rsidRPr="00AF2B6D">
        <w:rPr>
          <w:rFonts w:ascii="Times New Roman" w:hAnsi="Times New Roman"/>
          <w:sz w:val="28"/>
          <w:szCs w:val="28"/>
        </w:rPr>
        <w:t>е</w:t>
      </w:r>
      <w:r w:rsidRPr="00AF2B6D">
        <w:rPr>
          <w:rFonts w:ascii="Times New Roman" w:hAnsi="Times New Roman"/>
          <w:sz w:val="28"/>
          <w:szCs w:val="28"/>
        </w:rPr>
        <w:t>ниях существенно расширились полномочия контрольно-счетного органа.</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Сотрудники Счётной палаты имеют высшее профессиональное образование и значительный стаж работы. В отчетном периоде сотрудники Счётной пал</w:t>
      </w:r>
      <w:r w:rsidRPr="00AF2B6D">
        <w:rPr>
          <w:rFonts w:ascii="Times New Roman" w:hAnsi="Times New Roman"/>
          <w:sz w:val="28"/>
          <w:szCs w:val="28"/>
        </w:rPr>
        <w:t>а</w:t>
      </w:r>
      <w:r w:rsidRPr="00AF2B6D">
        <w:rPr>
          <w:rFonts w:ascii="Times New Roman" w:hAnsi="Times New Roman"/>
          <w:sz w:val="28"/>
          <w:szCs w:val="28"/>
        </w:rPr>
        <w:t>ты повышение квалификации не проходили.</w:t>
      </w:r>
    </w:p>
    <w:p w:rsidR="00AF2B6D" w:rsidRPr="00AF2B6D" w:rsidRDefault="00AF2B6D" w:rsidP="00AF2B6D">
      <w:pPr>
        <w:pStyle w:val="af"/>
        <w:spacing w:before="0" w:beforeAutospacing="0" w:after="0" w:afterAutospacing="0"/>
        <w:ind w:firstLine="709"/>
        <w:jc w:val="both"/>
        <w:rPr>
          <w:rFonts w:ascii="Times New Roman" w:hAnsi="Times New Roman"/>
          <w:sz w:val="28"/>
          <w:szCs w:val="28"/>
        </w:rPr>
      </w:pPr>
      <w:r w:rsidRPr="00AF2B6D">
        <w:rPr>
          <w:rFonts w:ascii="Times New Roman" w:hAnsi="Times New Roman"/>
          <w:sz w:val="28"/>
          <w:szCs w:val="28"/>
        </w:rPr>
        <w:t>Затраты на содержание Счётной палаты в 2018 году фактически составили   1216,9 тыс. рублей, на 2019 год запланировано- 1169,2 тыс. рублей.</w:t>
      </w:r>
    </w:p>
    <w:p w:rsidR="00AF2B6D" w:rsidRPr="00AF2B6D" w:rsidRDefault="00AF2B6D" w:rsidP="00AF2B6D">
      <w:pPr>
        <w:ind w:firstLine="709"/>
        <w:jc w:val="both"/>
        <w:rPr>
          <w:rStyle w:val="af3"/>
          <w:szCs w:val="28"/>
        </w:rPr>
      </w:pPr>
    </w:p>
    <w:p w:rsidR="00AF2B6D" w:rsidRPr="00AF2B6D" w:rsidRDefault="00AF2B6D" w:rsidP="00AF2B6D">
      <w:pPr>
        <w:ind w:firstLine="709"/>
        <w:jc w:val="both"/>
        <w:rPr>
          <w:rStyle w:val="af3"/>
          <w:szCs w:val="28"/>
        </w:rPr>
      </w:pPr>
      <w:r w:rsidRPr="00AF2B6D">
        <w:rPr>
          <w:rStyle w:val="af3"/>
          <w:szCs w:val="28"/>
        </w:rPr>
        <w:t>Информирование о деятельности Счётной палаты</w:t>
      </w:r>
    </w:p>
    <w:p w:rsidR="00AF2B6D" w:rsidRPr="00AF2B6D" w:rsidRDefault="00AF2B6D" w:rsidP="00AF2B6D">
      <w:pPr>
        <w:ind w:firstLine="709"/>
        <w:jc w:val="both"/>
        <w:rPr>
          <w:szCs w:val="28"/>
        </w:rPr>
      </w:pPr>
      <w:r w:rsidRPr="00AF2B6D">
        <w:rPr>
          <w:szCs w:val="28"/>
        </w:rPr>
        <w:t>В целях обеспечения принципа гласности  и открытости процедур ко</w:t>
      </w:r>
      <w:r w:rsidRPr="00AF2B6D">
        <w:rPr>
          <w:szCs w:val="28"/>
        </w:rPr>
        <w:t>н</w:t>
      </w:r>
      <w:r w:rsidRPr="00AF2B6D">
        <w:rPr>
          <w:szCs w:val="28"/>
        </w:rPr>
        <w:t>троля работа Счётной палаты освещалась в информационно-коммуникационной сети Интернет на сайте  Администрации Маловишерск</w:t>
      </w:r>
      <w:r w:rsidRPr="00AF2B6D">
        <w:rPr>
          <w:szCs w:val="28"/>
        </w:rPr>
        <w:t>о</w:t>
      </w:r>
      <w:r w:rsidRPr="00AF2B6D">
        <w:rPr>
          <w:szCs w:val="28"/>
        </w:rPr>
        <w:t>го муниципального района в разделе Счётная палата. Была продолжена раб</w:t>
      </w:r>
      <w:r w:rsidRPr="00AF2B6D">
        <w:rPr>
          <w:szCs w:val="28"/>
        </w:rPr>
        <w:t>о</w:t>
      </w:r>
      <w:r w:rsidRPr="00AF2B6D">
        <w:rPr>
          <w:szCs w:val="28"/>
        </w:rPr>
        <w:t xml:space="preserve">та по информационному и тематическому наполнению официального сайта. </w:t>
      </w:r>
    </w:p>
    <w:p w:rsidR="00AF2B6D" w:rsidRPr="00AF2B6D" w:rsidRDefault="00AF2B6D" w:rsidP="00AF2B6D">
      <w:pPr>
        <w:pStyle w:val="af"/>
        <w:spacing w:before="0" w:beforeAutospacing="0" w:after="0" w:afterAutospacing="0"/>
        <w:ind w:firstLine="709"/>
        <w:jc w:val="both"/>
        <w:rPr>
          <w:rFonts w:ascii="Times New Roman" w:hAnsi="Times New Roman"/>
          <w:bCs/>
          <w:sz w:val="28"/>
          <w:szCs w:val="28"/>
        </w:rPr>
      </w:pPr>
      <w:r w:rsidRPr="00AF2B6D">
        <w:rPr>
          <w:rFonts w:ascii="Times New Roman" w:hAnsi="Times New Roman"/>
          <w:sz w:val="28"/>
          <w:szCs w:val="28"/>
        </w:rPr>
        <w:t>Счетной палатой Новгородской области был проведен ежегодный мониторинг  создания и наполнения сайтов контрольно-счётных органов муниципальных образований. По результатам мониторинга итоговая оценка наполняемости сайта</w:t>
      </w:r>
      <w:r w:rsidRPr="00AF2B6D">
        <w:rPr>
          <w:rFonts w:ascii="Times New Roman" w:hAnsi="Times New Roman"/>
          <w:bCs/>
          <w:sz w:val="28"/>
          <w:szCs w:val="28"/>
        </w:rPr>
        <w:t xml:space="preserve"> Счётной палаты  Маловишерского района оценена как «до</w:t>
      </w:r>
      <w:r w:rsidRPr="00AF2B6D">
        <w:rPr>
          <w:rFonts w:ascii="Times New Roman" w:hAnsi="Times New Roman"/>
          <w:bCs/>
          <w:sz w:val="28"/>
          <w:szCs w:val="28"/>
        </w:rPr>
        <w:t>с</w:t>
      </w:r>
      <w:r w:rsidRPr="00AF2B6D">
        <w:rPr>
          <w:rFonts w:ascii="Times New Roman" w:hAnsi="Times New Roman"/>
          <w:bCs/>
          <w:sz w:val="28"/>
          <w:szCs w:val="28"/>
        </w:rPr>
        <w:t>таточная».</w:t>
      </w:r>
    </w:p>
    <w:p w:rsidR="00AF2B6D" w:rsidRDefault="00AF2B6D" w:rsidP="00AF2B6D">
      <w:pPr>
        <w:tabs>
          <w:tab w:val="left" w:pos="709"/>
        </w:tabs>
        <w:ind w:right="-144" w:firstLine="708"/>
        <w:jc w:val="both"/>
        <w:rPr>
          <w:szCs w:val="28"/>
        </w:rPr>
      </w:pPr>
    </w:p>
    <w:p w:rsidR="00AF2B6D" w:rsidRPr="002D0D67" w:rsidRDefault="005D16FC" w:rsidP="005D16FC">
      <w:pPr>
        <w:tabs>
          <w:tab w:val="left" w:pos="709"/>
        </w:tabs>
        <w:ind w:right="-144" w:firstLine="708"/>
        <w:jc w:val="center"/>
        <w:rPr>
          <w:szCs w:val="28"/>
        </w:rPr>
      </w:pPr>
      <w:r>
        <w:rPr>
          <w:szCs w:val="28"/>
        </w:rPr>
        <w:t>_______________________________</w:t>
      </w:r>
    </w:p>
    <w:p w:rsidR="00AF2B6D" w:rsidRDefault="00AF2B6D" w:rsidP="00AF2B6D">
      <w:pPr>
        <w:pStyle w:val="af"/>
        <w:spacing w:before="0" w:beforeAutospacing="0" w:after="0" w:afterAutospacing="0"/>
        <w:jc w:val="both"/>
        <w:rPr>
          <w:sz w:val="28"/>
          <w:szCs w:val="28"/>
        </w:rPr>
      </w:pPr>
    </w:p>
    <w:p w:rsidR="00AF2B6D" w:rsidRDefault="00AF2B6D" w:rsidP="00AF2B6D">
      <w:pPr>
        <w:tabs>
          <w:tab w:val="left" w:pos="709"/>
        </w:tabs>
        <w:ind w:right="-144" w:firstLine="708"/>
        <w:jc w:val="both"/>
        <w:rPr>
          <w:szCs w:val="28"/>
        </w:rPr>
      </w:pPr>
    </w:p>
    <w:p w:rsidR="00AF2B6D" w:rsidRDefault="00AF2B6D" w:rsidP="00AF2B6D">
      <w:pPr>
        <w:tabs>
          <w:tab w:val="left" w:pos="709"/>
        </w:tabs>
        <w:ind w:right="-144" w:firstLine="708"/>
        <w:jc w:val="both"/>
        <w:rPr>
          <w:szCs w:val="28"/>
        </w:rPr>
      </w:pPr>
    </w:p>
    <w:p w:rsidR="00AF2B6D" w:rsidRDefault="00AF2B6D" w:rsidP="00AF2B6D">
      <w:pPr>
        <w:tabs>
          <w:tab w:val="left" w:pos="709"/>
        </w:tabs>
        <w:ind w:right="-144" w:firstLine="708"/>
        <w:jc w:val="both"/>
        <w:rPr>
          <w:szCs w:val="28"/>
        </w:rPr>
      </w:pPr>
    </w:p>
    <w:p w:rsidR="00AF2B6D" w:rsidRDefault="00AF2B6D" w:rsidP="00AF2B6D">
      <w:pPr>
        <w:tabs>
          <w:tab w:val="left" w:pos="709"/>
        </w:tabs>
        <w:ind w:right="-144" w:firstLine="708"/>
        <w:jc w:val="both"/>
        <w:rPr>
          <w:szCs w:val="28"/>
        </w:rPr>
      </w:pPr>
    </w:p>
    <w:p w:rsidR="005D16FC" w:rsidRDefault="005D16FC" w:rsidP="00AF2B6D">
      <w:pPr>
        <w:tabs>
          <w:tab w:val="left" w:pos="709"/>
        </w:tabs>
        <w:ind w:right="-144" w:firstLine="708"/>
        <w:jc w:val="both"/>
        <w:rPr>
          <w:szCs w:val="28"/>
        </w:rPr>
        <w:sectPr w:rsidR="005D16FC" w:rsidSect="00132834">
          <w:pgSz w:w="11906" w:h="16838"/>
          <w:pgMar w:top="675" w:right="567" w:bottom="1134" w:left="1418" w:header="284" w:footer="709" w:gutter="0"/>
          <w:pgNumType w:start="1"/>
          <w:cols w:space="708"/>
          <w:titlePg/>
          <w:docGrid w:linePitch="381"/>
        </w:sectPr>
      </w:pPr>
    </w:p>
    <w:tbl>
      <w:tblPr>
        <w:tblW w:w="0" w:type="auto"/>
        <w:jc w:val="right"/>
        <w:tblInd w:w="5354" w:type="dxa"/>
        <w:tblLook w:val="04A0"/>
      </w:tblPr>
      <w:tblGrid>
        <w:gridCol w:w="4500"/>
      </w:tblGrid>
      <w:tr w:rsidR="005D16FC" w:rsidRPr="00D11C61" w:rsidTr="005F7627">
        <w:trPr>
          <w:jc w:val="right"/>
        </w:trPr>
        <w:tc>
          <w:tcPr>
            <w:tcW w:w="4500" w:type="dxa"/>
          </w:tcPr>
          <w:p w:rsidR="005D16FC" w:rsidRPr="005D16FC" w:rsidRDefault="005D16FC" w:rsidP="005F7627">
            <w:pPr>
              <w:jc w:val="center"/>
              <w:rPr>
                <w:sz w:val="24"/>
              </w:rPr>
            </w:pPr>
            <w:r w:rsidRPr="005D16FC">
              <w:rPr>
                <w:sz w:val="24"/>
              </w:rPr>
              <w:lastRenderedPageBreak/>
              <w:t xml:space="preserve">Приложение </w:t>
            </w:r>
          </w:p>
        </w:tc>
      </w:tr>
      <w:tr w:rsidR="005D16FC" w:rsidRPr="00D11C61" w:rsidTr="005F7627">
        <w:trPr>
          <w:jc w:val="right"/>
        </w:trPr>
        <w:tc>
          <w:tcPr>
            <w:tcW w:w="4500" w:type="dxa"/>
          </w:tcPr>
          <w:p w:rsidR="005D16FC" w:rsidRPr="005D16FC" w:rsidRDefault="005D16FC" w:rsidP="005D16FC">
            <w:pPr>
              <w:spacing w:line="240" w:lineRule="exact"/>
              <w:jc w:val="both"/>
              <w:rPr>
                <w:sz w:val="24"/>
              </w:rPr>
            </w:pPr>
            <w:r w:rsidRPr="005D16FC">
              <w:rPr>
                <w:sz w:val="24"/>
              </w:rPr>
              <w:t>к ежегодному отчету о деятельности Счётной палаты Маловишерского муниципального района, результатам проведенных ко</w:t>
            </w:r>
            <w:r w:rsidRPr="005D16FC">
              <w:rPr>
                <w:sz w:val="24"/>
              </w:rPr>
              <w:t>н</w:t>
            </w:r>
            <w:r w:rsidRPr="005D16FC">
              <w:rPr>
                <w:sz w:val="24"/>
              </w:rPr>
              <w:t xml:space="preserve">трольных и экспертно-аналитических мероприятий в 2018 году </w:t>
            </w:r>
          </w:p>
        </w:tc>
      </w:tr>
    </w:tbl>
    <w:p w:rsidR="005D16FC" w:rsidRDefault="005D16FC" w:rsidP="00AF2B6D">
      <w:pPr>
        <w:jc w:val="center"/>
        <w:rPr>
          <w:rFonts w:eastAsia="Calibri"/>
          <w:b/>
          <w:szCs w:val="28"/>
          <w:lang w:eastAsia="en-US"/>
        </w:rPr>
      </w:pPr>
    </w:p>
    <w:p w:rsidR="00AF2B6D" w:rsidRPr="005D16FC" w:rsidRDefault="00AF2B6D" w:rsidP="00AF2B6D">
      <w:pPr>
        <w:jc w:val="center"/>
        <w:rPr>
          <w:rFonts w:eastAsia="Calibri"/>
          <w:b/>
          <w:sz w:val="24"/>
          <w:lang w:eastAsia="en-US"/>
        </w:rPr>
      </w:pPr>
      <w:r w:rsidRPr="005D16FC">
        <w:rPr>
          <w:rFonts w:eastAsia="Calibri"/>
          <w:b/>
          <w:sz w:val="24"/>
          <w:lang w:eastAsia="en-US"/>
        </w:rPr>
        <w:t>Информация о выявленных  нарушениях в  2018 году</w:t>
      </w:r>
    </w:p>
    <w:p w:rsidR="005D16FC" w:rsidRDefault="005D16FC" w:rsidP="00AF2B6D">
      <w:pPr>
        <w:jc w:val="center"/>
        <w:rPr>
          <w:rFonts w:eastAsia="Calibri"/>
          <w:b/>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1794"/>
        <w:gridCol w:w="2410"/>
      </w:tblGrid>
      <w:tr w:rsidR="00AF2B6D" w:rsidRPr="005D16FC" w:rsidTr="005D16FC">
        <w:tc>
          <w:tcPr>
            <w:tcW w:w="5495" w:type="dxa"/>
            <w:vMerge w:val="restart"/>
          </w:tcPr>
          <w:p w:rsidR="00AF2B6D" w:rsidRPr="005D16FC" w:rsidRDefault="00AF2B6D" w:rsidP="005D16FC">
            <w:pPr>
              <w:tabs>
                <w:tab w:val="left" w:pos="709"/>
              </w:tabs>
              <w:spacing w:line="240" w:lineRule="exact"/>
              <w:jc w:val="center"/>
              <w:rPr>
                <w:sz w:val="24"/>
              </w:rPr>
            </w:pPr>
            <w:r w:rsidRPr="005D16FC">
              <w:rPr>
                <w:b/>
                <w:bCs/>
                <w:sz w:val="24"/>
              </w:rPr>
              <w:t>Наименование мероприятия</w:t>
            </w:r>
          </w:p>
        </w:tc>
        <w:tc>
          <w:tcPr>
            <w:tcW w:w="4204" w:type="dxa"/>
            <w:gridSpan w:val="2"/>
          </w:tcPr>
          <w:p w:rsidR="00AF2B6D" w:rsidRPr="005D16FC" w:rsidRDefault="00AF2B6D" w:rsidP="005D16FC">
            <w:pPr>
              <w:tabs>
                <w:tab w:val="left" w:pos="709"/>
              </w:tabs>
              <w:spacing w:line="240" w:lineRule="exact"/>
              <w:jc w:val="center"/>
              <w:rPr>
                <w:sz w:val="24"/>
              </w:rPr>
            </w:pPr>
            <w:r w:rsidRPr="005D16FC">
              <w:rPr>
                <w:b/>
                <w:bCs/>
                <w:sz w:val="24"/>
              </w:rPr>
              <w:t>Сведения о выявленных нарушен</w:t>
            </w:r>
            <w:r w:rsidRPr="005D16FC">
              <w:rPr>
                <w:b/>
                <w:bCs/>
                <w:sz w:val="24"/>
              </w:rPr>
              <w:t>и</w:t>
            </w:r>
            <w:r w:rsidRPr="005D16FC">
              <w:rPr>
                <w:b/>
                <w:bCs/>
                <w:sz w:val="24"/>
              </w:rPr>
              <w:t>ях</w:t>
            </w:r>
          </w:p>
        </w:tc>
      </w:tr>
      <w:tr w:rsidR="00AF2B6D" w:rsidRPr="005D16FC" w:rsidTr="005D16FC">
        <w:tc>
          <w:tcPr>
            <w:tcW w:w="5495" w:type="dxa"/>
            <w:vMerge/>
          </w:tcPr>
          <w:p w:rsidR="00AF2B6D" w:rsidRPr="005D16FC" w:rsidRDefault="00AF2B6D" w:rsidP="005D16FC">
            <w:pPr>
              <w:tabs>
                <w:tab w:val="left" w:pos="709"/>
              </w:tabs>
              <w:spacing w:line="240" w:lineRule="exact"/>
              <w:jc w:val="both"/>
              <w:rPr>
                <w:sz w:val="24"/>
              </w:rPr>
            </w:pPr>
          </w:p>
        </w:tc>
        <w:tc>
          <w:tcPr>
            <w:tcW w:w="1794" w:type="dxa"/>
          </w:tcPr>
          <w:p w:rsidR="00AF2B6D" w:rsidRPr="005D16FC" w:rsidRDefault="00AF2B6D" w:rsidP="005D16FC">
            <w:pPr>
              <w:tabs>
                <w:tab w:val="left" w:pos="-108"/>
              </w:tabs>
              <w:spacing w:line="240" w:lineRule="exact"/>
              <w:jc w:val="center"/>
              <w:rPr>
                <w:sz w:val="24"/>
              </w:rPr>
            </w:pPr>
            <w:r w:rsidRPr="005D16FC">
              <w:rPr>
                <w:b/>
                <w:bCs/>
                <w:sz w:val="24"/>
              </w:rPr>
              <w:t>нарушения с количественным показателем, ед</w:t>
            </w:r>
          </w:p>
        </w:tc>
        <w:tc>
          <w:tcPr>
            <w:tcW w:w="2410" w:type="dxa"/>
          </w:tcPr>
          <w:p w:rsidR="00AF2B6D" w:rsidRPr="005D16FC" w:rsidRDefault="00AF2B6D" w:rsidP="005D16FC">
            <w:pPr>
              <w:tabs>
                <w:tab w:val="left" w:pos="709"/>
              </w:tabs>
              <w:spacing w:line="240" w:lineRule="exact"/>
              <w:jc w:val="center"/>
              <w:rPr>
                <w:sz w:val="24"/>
              </w:rPr>
            </w:pPr>
            <w:r w:rsidRPr="005D16FC">
              <w:rPr>
                <w:b/>
                <w:bCs/>
                <w:sz w:val="24"/>
              </w:rPr>
              <w:t>нарушения с кол</w:t>
            </w:r>
            <w:r w:rsidRPr="005D16FC">
              <w:rPr>
                <w:b/>
                <w:bCs/>
                <w:sz w:val="24"/>
              </w:rPr>
              <w:t>и</w:t>
            </w:r>
            <w:r w:rsidRPr="005D16FC">
              <w:rPr>
                <w:b/>
                <w:bCs/>
                <w:sz w:val="24"/>
              </w:rPr>
              <w:t>чественным и стоимостным пок</w:t>
            </w:r>
            <w:r w:rsidRPr="005D16FC">
              <w:rPr>
                <w:b/>
                <w:bCs/>
                <w:sz w:val="24"/>
              </w:rPr>
              <w:t>а</w:t>
            </w:r>
            <w:r w:rsidRPr="005D16FC">
              <w:rPr>
                <w:b/>
                <w:bCs/>
                <w:sz w:val="24"/>
              </w:rPr>
              <w:t>зателями, ед./тыс. рублей</w:t>
            </w:r>
          </w:p>
        </w:tc>
      </w:tr>
      <w:tr w:rsidR="00AF2B6D" w:rsidRPr="005D16FC" w:rsidTr="005D16FC">
        <w:tc>
          <w:tcPr>
            <w:tcW w:w="9699" w:type="dxa"/>
            <w:gridSpan w:val="3"/>
          </w:tcPr>
          <w:p w:rsidR="00AF2B6D" w:rsidRPr="005D16FC" w:rsidRDefault="00AF2B6D" w:rsidP="005D16FC">
            <w:pPr>
              <w:tabs>
                <w:tab w:val="left" w:pos="709"/>
              </w:tabs>
              <w:spacing w:line="240" w:lineRule="exact"/>
              <w:jc w:val="center"/>
              <w:rPr>
                <w:sz w:val="24"/>
              </w:rPr>
            </w:pPr>
            <w:r w:rsidRPr="005D16FC">
              <w:rPr>
                <w:b/>
                <w:bCs/>
                <w:i/>
                <w:iCs/>
                <w:sz w:val="24"/>
              </w:rPr>
              <w:t>по  Классификатору нарушений</w:t>
            </w:r>
          </w:p>
        </w:tc>
      </w:tr>
      <w:tr w:rsidR="00AF2B6D" w:rsidRPr="005D16FC" w:rsidTr="005D16FC">
        <w:tc>
          <w:tcPr>
            <w:tcW w:w="5495" w:type="dxa"/>
            <w:vAlign w:val="center"/>
          </w:tcPr>
          <w:p w:rsidR="00AF2B6D" w:rsidRPr="005D16FC" w:rsidRDefault="00AF2B6D" w:rsidP="005D16FC">
            <w:pPr>
              <w:spacing w:line="240" w:lineRule="exact"/>
              <w:jc w:val="both"/>
              <w:rPr>
                <w:sz w:val="24"/>
              </w:rPr>
            </w:pPr>
            <w:r w:rsidRPr="005D16FC">
              <w:rPr>
                <w:sz w:val="24"/>
              </w:rPr>
              <w:t>Анализ и оценка законности, целесообразности, обоснованности, своевременности, эффективности и результативности расходов на закупки товаров, работ и услуг для муниципальных нужд в Бурги</w:t>
            </w:r>
            <w:r w:rsidRPr="005D16FC">
              <w:rPr>
                <w:sz w:val="24"/>
              </w:rPr>
              <w:t>н</w:t>
            </w:r>
            <w:r w:rsidRPr="005D16FC">
              <w:rPr>
                <w:sz w:val="24"/>
              </w:rPr>
              <w:t xml:space="preserve">ском сельском поселении </w:t>
            </w:r>
          </w:p>
        </w:tc>
        <w:tc>
          <w:tcPr>
            <w:tcW w:w="1794" w:type="dxa"/>
          </w:tcPr>
          <w:p w:rsidR="00AF2B6D" w:rsidRPr="005D16FC" w:rsidRDefault="00AF2B6D" w:rsidP="005D16FC">
            <w:pPr>
              <w:tabs>
                <w:tab w:val="left" w:pos="709"/>
              </w:tabs>
              <w:spacing w:line="240" w:lineRule="exact"/>
              <w:jc w:val="center"/>
              <w:rPr>
                <w:sz w:val="24"/>
              </w:rPr>
            </w:pPr>
            <w:r w:rsidRPr="005D16FC">
              <w:rPr>
                <w:sz w:val="24"/>
              </w:rPr>
              <w:t>2</w:t>
            </w:r>
          </w:p>
        </w:tc>
        <w:tc>
          <w:tcPr>
            <w:tcW w:w="2410" w:type="dxa"/>
          </w:tcPr>
          <w:p w:rsidR="00AF2B6D" w:rsidRPr="005D16FC" w:rsidRDefault="00AF2B6D" w:rsidP="005D16FC">
            <w:pPr>
              <w:tabs>
                <w:tab w:val="left" w:pos="709"/>
              </w:tabs>
              <w:spacing w:line="240" w:lineRule="exact"/>
              <w:jc w:val="center"/>
              <w:rPr>
                <w:sz w:val="24"/>
              </w:rPr>
            </w:pPr>
            <w:r w:rsidRPr="005D16FC">
              <w:rPr>
                <w:sz w:val="24"/>
              </w:rPr>
              <w:t>-</w:t>
            </w:r>
          </w:p>
        </w:tc>
      </w:tr>
      <w:tr w:rsidR="00AF2B6D" w:rsidRPr="005D16FC" w:rsidTr="005D16FC">
        <w:tc>
          <w:tcPr>
            <w:tcW w:w="5495" w:type="dxa"/>
          </w:tcPr>
          <w:p w:rsidR="00AF2B6D" w:rsidRPr="005D16FC" w:rsidRDefault="00AF2B6D" w:rsidP="005D16FC">
            <w:pPr>
              <w:tabs>
                <w:tab w:val="left" w:pos="709"/>
              </w:tabs>
              <w:spacing w:line="240" w:lineRule="exact"/>
              <w:jc w:val="both"/>
              <w:rPr>
                <w:sz w:val="24"/>
                <w:highlight w:val="yellow"/>
              </w:rPr>
            </w:pPr>
            <w:r w:rsidRPr="005D16FC">
              <w:rPr>
                <w:sz w:val="24"/>
              </w:rPr>
              <w:t>проверка целевых показателей и эффективности и</w:t>
            </w:r>
            <w:r w:rsidRPr="005D16FC">
              <w:rPr>
                <w:sz w:val="24"/>
              </w:rPr>
              <w:t>с</w:t>
            </w:r>
            <w:r w:rsidRPr="005D16FC">
              <w:rPr>
                <w:sz w:val="24"/>
              </w:rPr>
              <w:t>пользования бюджетных средств подпрограммы «Развитие дополнительного образования в сфере культуры и искусства» муниципальной программы «Развитие культуры Маловишерского муниципал</w:t>
            </w:r>
            <w:r w:rsidRPr="005D16FC">
              <w:rPr>
                <w:sz w:val="24"/>
              </w:rPr>
              <w:t>ь</w:t>
            </w:r>
            <w:r w:rsidRPr="005D16FC">
              <w:rPr>
                <w:sz w:val="24"/>
              </w:rPr>
              <w:t>ного района на 2014-2020 годы» (МБУДО «Мал</w:t>
            </w:r>
            <w:r w:rsidRPr="005D16FC">
              <w:rPr>
                <w:sz w:val="24"/>
              </w:rPr>
              <w:t>о</w:t>
            </w:r>
            <w:r w:rsidRPr="005D16FC">
              <w:rPr>
                <w:sz w:val="24"/>
              </w:rPr>
              <w:t>вишерская детская школа искусств»)</w:t>
            </w:r>
          </w:p>
        </w:tc>
        <w:tc>
          <w:tcPr>
            <w:tcW w:w="1794" w:type="dxa"/>
          </w:tcPr>
          <w:p w:rsidR="00AF2B6D" w:rsidRPr="005D16FC" w:rsidRDefault="00AF2B6D" w:rsidP="005D16FC">
            <w:pPr>
              <w:tabs>
                <w:tab w:val="left" w:pos="709"/>
              </w:tabs>
              <w:spacing w:line="240" w:lineRule="exact"/>
              <w:jc w:val="center"/>
              <w:rPr>
                <w:sz w:val="24"/>
              </w:rPr>
            </w:pPr>
            <w:r w:rsidRPr="005D16FC">
              <w:rPr>
                <w:sz w:val="24"/>
              </w:rPr>
              <w:t>2</w:t>
            </w:r>
          </w:p>
        </w:tc>
        <w:tc>
          <w:tcPr>
            <w:tcW w:w="2410" w:type="dxa"/>
          </w:tcPr>
          <w:p w:rsidR="00AF2B6D" w:rsidRPr="005D16FC" w:rsidRDefault="00AF2B6D" w:rsidP="005D16FC">
            <w:pPr>
              <w:tabs>
                <w:tab w:val="left" w:pos="709"/>
              </w:tabs>
              <w:spacing w:line="240" w:lineRule="exact"/>
              <w:jc w:val="center"/>
              <w:rPr>
                <w:sz w:val="24"/>
              </w:rPr>
            </w:pPr>
            <w:r w:rsidRPr="005D16FC">
              <w:rPr>
                <w:sz w:val="24"/>
              </w:rPr>
              <w:t>1/21,5</w:t>
            </w:r>
          </w:p>
        </w:tc>
      </w:tr>
      <w:tr w:rsidR="00AF2B6D" w:rsidRPr="005D16FC" w:rsidTr="005D16FC">
        <w:tc>
          <w:tcPr>
            <w:tcW w:w="5495" w:type="dxa"/>
          </w:tcPr>
          <w:p w:rsidR="00AF2B6D" w:rsidRPr="005D16FC" w:rsidRDefault="00AF2B6D" w:rsidP="005D16FC">
            <w:pPr>
              <w:tabs>
                <w:tab w:val="left" w:pos="709"/>
              </w:tabs>
              <w:spacing w:line="240" w:lineRule="exact"/>
              <w:jc w:val="both"/>
              <w:rPr>
                <w:sz w:val="24"/>
                <w:highlight w:val="yellow"/>
              </w:rPr>
            </w:pPr>
            <w:r w:rsidRPr="005D16FC">
              <w:rPr>
                <w:sz w:val="24"/>
              </w:rPr>
              <w:t>анализ муниципальных нормативных правовых актов, регулирующих порядок составления муниц</w:t>
            </w:r>
            <w:r w:rsidRPr="005D16FC">
              <w:rPr>
                <w:sz w:val="24"/>
              </w:rPr>
              <w:t>и</w:t>
            </w:r>
            <w:r w:rsidRPr="005D16FC">
              <w:rPr>
                <w:sz w:val="24"/>
              </w:rPr>
              <w:t>пального задания установленному порядку, осущ</w:t>
            </w:r>
            <w:r w:rsidRPr="005D16FC">
              <w:rPr>
                <w:sz w:val="24"/>
              </w:rPr>
              <w:t>е</w:t>
            </w:r>
            <w:r w:rsidRPr="005D16FC">
              <w:rPr>
                <w:sz w:val="24"/>
              </w:rPr>
              <w:t>ствление контроля за исполнением муниципального задания (комитет культуры Администрации Мал</w:t>
            </w:r>
            <w:r w:rsidRPr="005D16FC">
              <w:rPr>
                <w:sz w:val="24"/>
              </w:rPr>
              <w:t>о</w:t>
            </w:r>
            <w:r w:rsidRPr="005D16FC">
              <w:rPr>
                <w:sz w:val="24"/>
              </w:rPr>
              <w:t>вишерского муниципального района)</w:t>
            </w:r>
          </w:p>
        </w:tc>
        <w:tc>
          <w:tcPr>
            <w:tcW w:w="1794" w:type="dxa"/>
          </w:tcPr>
          <w:p w:rsidR="00AF2B6D" w:rsidRPr="005D16FC" w:rsidRDefault="00AF2B6D" w:rsidP="005D16FC">
            <w:pPr>
              <w:tabs>
                <w:tab w:val="left" w:pos="709"/>
              </w:tabs>
              <w:spacing w:line="240" w:lineRule="exact"/>
              <w:jc w:val="center"/>
              <w:rPr>
                <w:sz w:val="24"/>
              </w:rPr>
            </w:pPr>
            <w:r w:rsidRPr="005D16FC">
              <w:rPr>
                <w:sz w:val="24"/>
              </w:rPr>
              <w:t>-</w:t>
            </w:r>
          </w:p>
        </w:tc>
        <w:tc>
          <w:tcPr>
            <w:tcW w:w="2410" w:type="dxa"/>
          </w:tcPr>
          <w:p w:rsidR="00AF2B6D" w:rsidRPr="005D16FC" w:rsidRDefault="00AF2B6D" w:rsidP="005D16FC">
            <w:pPr>
              <w:tabs>
                <w:tab w:val="left" w:pos="709"/>
              </w:tabs>
              <w:spacing w:line="240" w:lineRule="exact"/>
              <w:jc w:val="center"/>
              <w:rPr>
                <w:sz w:val="24"/>
              </w:rPr>
            </w:pPr>
            <w:r w:rsidRPr="005D16FC">
              <w:rPr>
                <w:sz w:val="24"/>
              </w:rPr>
              <w:t>1/6373,6</w:t>
            </w:r>
          </w:p>
        </w:tc>
      </w:tr>
      <w:tr w:rsidR="00AF2B6D" w:rsidRPr="005D16FC" w:rsidTr="005D16FC">
        <w:tc>
          <w:tcPr>
            <w:tcW w:w="5495" w:type="dxa"/>
            <w:vAlign w:val="center"/>
          </w:tcPr>
          <w:p w:rsidR="00AF2B6D" w:rsidRPr="005D16FC" w:rsidRDefault="00AF2B6D" w:rsidP="005D16FC">
            <w:pPr>
              <w:spacing w:line="240" w:lineRule="exact"/>
              <w:jc w:val="both"/>
              <w:rPr>
                <w:sz w:val="24"/>
                <w:highlight w:val="yellow"/>
              </w:rPr>
            </w:pPr>
            <w:r w:rsidRPr="005D16FC">
              <w:rPr>
                <w:sz w:val="24"/>
              </w:rPr>
              <w:t>Итого</w:t>
            </w:r>
          </w:p>
        </w:tc>
        <w:tc>
          <w:tcPr>
            <w:tcW w:w="1794" w:type="dxa"/>
            <w:vAlign w:val="center"/>
          </w:tcPr>
          <w:p w:rsidR="00AF2B6D" w:rsidRPr="005D16FC" w:rsidRDefault="00AF2B6D" w:rsidP="005D16FC">
            <w:pPr>
              <w:spacing w:line="240" w:lineRule="exact"/>
              <w:jc w:val="center"/>
              <w:rPr>
                <w:sz w:val="24"/>
              </w:rPr>
            </w:pPr>
            <w:r w:rsidRPr="005D16FC">
              <w:rPr>
                <w:sz w:val="24"/>
              </w:rPr>
              <w:t>4</w:t>
            </w:r>
          </w:p>
        </w:tc>
        <w:tc>
          <w:tcPr>
            <w:tcW w:w="2410" w:type="dxa"/>
            <w:vAlign w:val="center"/>
          </w:tcPr>
          <w:p w:rsidR="00AF2B6D" w:rsidRPr="005D16FC" w:rsidRDefault="00AF2B6D" w:rsidP="005D16FC">
            <w:pPr>
              <w:spacing w:line="240" w:lineRule="exact"/>
              <w:jc w:val="center"/>
              <w:rPr>
                <w:sz w:val="24"/>
              </w:rPr>
            </w:pPr>
            <w:r w:rsidRPr="005D16FC">
              <w:rPr>
                <w:sz w:val="24"/>
              </w:rPr>
              <w:t>2/6395,1</w:t>
            </w:r>
          </w:p>
        </w:tc>
      </w:tr>
      <w:tr w:rsidR="00AF2B6D" w:rsidRPr="005D16FC" w:rsidTr="005D16FC">
        <w:tc>
          <w:tcPr>
            <w:tcW w:w="9699" w:type="dxa"/>
            <w:gridSpan w:val="3"/>
            <w:vAlign w:val="center"/>
          </w:tcPr>
          <w:p w:rsidR="00AF2B6D" w:rsidRPr="005D16FC" w:rsidRDefault="00AF2B6D" w:rsidP="005D16FC">
            <w:pPr>
              <w:tabs>
                <w:tab w:val="left" w:pos="709"/>
              </w:tabs>
              <w:spacing w:line="240" w:lineRule="exact"/>
              <w:jc w:val="center"/>
              <w:rPr>
                <w:sz w:val="24"/>
              </w:rPr>
            </w:pPr>
            <w:r w:rsidRPr="005D16FC">
              <w:rPr>
                <w:b/>
                <w:bCs/>
                <w:i/>
                <w:iCs/>
                <w:sz w:val="24"/>
              </w:rPr>
              <w:t>Неэффективные расходы</w:t>
            </w:r>
          </w:p>
        </w:tc>
      </w:tr>
      <w:tr w:rsidR="00AF2B6D" w:rsidRPr="005D16FC" w:rsidTr="005D16FC">
        <w:tc>
          <w:tcPr>
            <w:tcW w:w="5495" w:type="dxa"/>
            <w:vAlign w:val="center"/>
          </w:tcPr>
          <w:p w:rsidR="00AF2B6D" w:rsidRPr="005D16FC" w:rsidRDefault="00AF2B6D" w:rsidP="005D16FC">
            <w:pPr>
              <w:spacing w:line="240" w:lineRule="exact"/>
              <w:jc w:val="both"/>
              <w:rPr>
                <w:sz w:val="24"/>
              </w:rPr>
            </w:pPr>
            <w:r w:rsidRPr="005D16FC">
              <w:rPr>
                <w:sz w:val="24"/>
              </w:rPr>
              <w:t>Анализ и оценка законности, целесообразности, обоснованности, своевременности, эффективности и результативности расходов на закупки товаров, работ и услуг для муниципальных нужд в Бурги</w:t>
            </w:r>
            <w:r w:rsidRPr="005D16FC">
              <w:rPr>
                <w:sz w:val="24"/>
              </w:rPr>
              <w:t>н</w:t>
            </w:r>
            <w:r w:rsidRPr="005D16FC">
              <w:rPr>
                <w:sz w:val="24"/>
              </w:rPr>
              <w:t xml:space="preserve">ском сельском поселении </w:t>
            </w:r>
          </w:p>
        </w:tc>
        <w:tc>
          <w:tcPr>
            <w:tcW w:w="1794" w:type="dxa"/>
            <w:vAlign w:val="center"/>
          </w:tcPr>
          <w:p w:rsidR="00AF2B6D" w:rsidRPr="005D16FC" w:rsidRDefault="00AF2B6D" w:rsidP="005D16FC">
            <w:pPr>
              <w:spacing w:line="240" w:lineRule="exact"/>
              <w:jc w:val="center"/>
              <w:rPr>
                <w:sz w:val="24"/>
              </w:rPr>
            </w:pPr>
          </w:p>
        </w:tc>
        <w:tc>
          <w:tcPr>
            <w:tcW w:w="2410" w:type="dxa"/>
          </w:tcPr>
          <w:p w:rsidR="00AF2B6D" w:rsidRPr="005D16FC" w:rsidRDefault="00AF2B6D" w:rsidP="005D16FC">
            <w:pPr>
              <w:tabs>
                <w:tab w:val="left" w:pos="709"/>
              </w:tabs>
              <w:spacing w:line="240" w:lineRule="exact"/>
              <w:jc w:val="center"/>
              <w:rPr>
                <w:sz w:val="24"/>
              </w:rPr>
            </w:pPr>
            <w:r w:rsidRPr="005D16FC">
              <w:rPr>
                <w:sz w:val="24"/>
              </w:rPr>
              <w:t>1/ 470,3</w:t>
            </w:r>
          </w:p>
        </w:tc>
      </w:tr>
      <w:tr w:rsidR="00AF2B6D" w:rsidRPr="005D16FC" w:rsidTr="005D16FC">
        <w:tc>
          <w:tcPr>
            <w:tcW w:w="5495" w:type="dxa"/>
            <w:vAlign w:val="center"/>
          </w:tcPr>
          <w:p w:rsidR="00AF2B6D" w:rsidRPr="005D16FC" w:rsidRDefault="00AF2B6D" w:rsidP="005D16FC">
            <w:pPr>
              <w:spacing w:line="240" w:lineRule="exact"/>
              <w:jc w:val="both"/>
              <w:rPr>
                <w:sz w:val="24"/>
              </w:rPr>
            </w:pPr>
            <w:r w:rsidRPr="005D16FC">
              <w:rPr>
                <w:sz w:val="24"/>
              </w:rPr>
              <w:t>проверка целевого и эффективного использования бюджетных средств, направленных на реализацию приоритетного проекта «Формирование комфор</w:t>
            </w:r>
            <w:r w:rsidRPr="005D16FC">
              <w:rPr>
                <w:sz w:val="24"/>
              </w:rPr>
              <w:t>т</w:t>
            </w:r>
            <w:r w:rsidRPr="005D16FC">
              <w:rPr>
                <w:sz w:val="24"/>
              </w:rPr>
              <w:t>ной городской среды» (МКУ «Служба заказчика»)</w:t>
            </w:r>
          </w:p>
        </w:tc>
        <w:tc>
          <w:tcPr>
            <w:tcW w:w="1794" w:type="dxa"/>
            <w:vAlign w:val="center"/>
          </w:tcPr>
          <w:p w:rsidR="00AF2B6D" w:rsidRPr="005D16FC" w:rsidRDefault="00AF2B6D" w:rsidP="005D16FC">
            <w:pPr>
              <w:spacing w:line="240" w:lineRule="exact"/>
              <w:jc w:val="center"/>
              <w:rPr>
                <w:sz w:val="24"/>
              </w:rPr>
            </w:pPr>
            <w:r w:rsidRPr="005D16FC">
              <w:rPr>
                <w:sz w:val="24"/>
              </w:rPr>
              <w:t>-</w:t>
            </w:r>
          </w:p>
        </w:tc>
        <w:tc>
          <w:tcPr>
            <w:tcW w:w="2410" w:type="dxa"/>
            <w:vAlign w:val="center"/>
          </w:tcPr>
          <w:p w:rsidR="00AF2B6D" w:rsidRPr="005D16FC" w:rsidRDefault="00AF2B6D" w:rsidP="005D16FC">
            <w:pPr>
              <w:spacing w:line="240" w:lineRule="exact"/>
              <w:jc w:val="center"/>
              <w:rPr>
                <w:sz w:val="24"/>
              </w:rPr>
            </w:pPr>
            <w:r w:rsidRPr="005D16FC">
              <w:rPr>
                <w:sz w:val="24"/>
              </w:rPr>
              <w:t>1/7,4</w:t>
            </w:r>
          </w:p>
        </w:tc>
      </w:tr>
      <w:tr w:rsidR="00AF2B6D" w:rsidRPr="005D16FC" w:rsidTr="005D16FC">
        <w:tc>
          <w:tcPr>
            <w:tcW w:w="5495" w:type="dxa"/>
          </w:tcPr>
          <w:p w:rsidR="00AF2B6D" w:rsidRPr="005D16FC" w:rsidRDefault="00AF2B6D" w:rsidP="005D16FC">
            <w:pPr>
              <w:tabs>
                <w:tab w:val="left" w:pos="709"/>
              </w:tabs>
              <w:spacing w:line="240" w:lineRule="exact"/>
              <w:jc w:val="both"/>
              <w:rPr>
                <w:sz w:val="24"/>
                <w:highlight w:val="yellow"/>
              </w:rPr>
            </w:pPr>
            <w:r w:rsidRPr="005D16FC">
              <w:rPr>
                <w:sz w:val="24"/>
              </w:rPr>
              <w:t>Проверка законности и результативности использ</w:t>
            </w:r>
            <w:r w:rsidRPr="005D16FC">
              <w:rPr>
                <w:sz w:val="24"/>
              </w:rPr>
              <w:t>о</w:t>
            </w:r>
            <w:r w:rsidRPr="005D16FC">
              <w:rPr>
                <w:sz w:val="24"/>
              </w:rPr>
              <w:t>вания субсидии направленной на строительство а</w:t>
            </w:r>
            <w:r w:rsidRPr="005D16FC">
              <w:rPr>
                <w:sz w:val="24"/>
              </w:rPr>
              <w:t>в</w:t>
            </w:r>
            <w:r w:rsidRPr="005D16FC">
              <w:rPr>
                <w:sz w:val="24"/>
              </w:rPr>
              <w:t>томобильной дороги к многоквартирным домам по ул. Сосновая в г. Малая Вишера, Новгородской о</w:t>
            </w:r>
            <w:r w:rsidRPr="005D16FC">
              <w:rPr>
                <w:sz w:val="24"/>
              </w:rPr>
              <w:t>б</w:t>
            </w:r>
            <w:r w:rsidRPr="005D16FC">
              <w:rPr>
                <w:sz w:val="24"/>
              </w:rPr>
              <w:t>ласти (МКУ «Служба заказчика»)</w:t>
            </w:r>
          </w:p>
        </w:tc>
        <w:tc>
          <w:tcPr>
            <w:tcW w:w="1794" w:type="dxa"/>
          </w:tcPr>
          <w:p w:rsidR="00AF2B6D" w:rsidRPr="005D16FC" w:rsidRDefault="00AF2B6D" w:rsidP="005D16FC">
            <w:pPr>
              <w:tabs>
                <w:tab w:val="left" w:pos="709"/>
              </w:tabs>
              <w:spacing w:line="240" w:lineRule="exact"/>
              <w:jc w:val="center"/>
              <w:rPr>
                <w:sz w:val="24"/>
              </w:rPr>
            </w:pPr>
            <w:r w:rsidRPr="005D16FC">
              <w:rPr>
                <w:sz w:val="24"/>
              </w:rPr>
              <w:t>-</w:t>
            </w:r>
          </w:p>
        </w:tc>
        <w:tc>
          <w:tcPr>
            <w:tcW w:w="2410" w:type="dxa"/>
          </w:tcPr>
          <w:p w:rsidR="00AF2B6D" w:rsidRPr="005D16FC" w:rsidRDefault="00AF2B6D" w:rsidP="005D16FC">
            <w:pPr>
              <w:tabs>
                <w:tab w:val="left" w:pos="709"/>
              </w:tabs>
              <w:spacing w:line="240" w:lineRule="exact"/>
              <w:jc w:val="center"/>
              <w:rPr>
                <w:sz w:val="24"/>
              </w:rPr>
            </w:pPr>
            <w:r w:rsidRPr="005D16FC">
              <w:rPr>
                <w:sz w:val="24"/>
              </w:rPr>
              <w:t>1/0,9</w:t>
            </w:r>
          </w:p>
        </w:tc>
      </w:tr>
      <w:tr w:rsidR="00AF2B6D" w:rsidRPr="005D16FC" w:rsidTr="005D16FC">
        <w:tc>
          <w:tcPr>
            <w:tcW w:w="5495" w:type="dxa"/>
            <w:vAlign w:val="center"/>
          </w:tcPr>
          <w:p w:rsidR="00AF2B6D" w:rsidRPr="005D16FC" w:rsidRDefault="00AF2B6D" w:rsidP="005D16FC">
            <w:pPr>
              <w:spacing w:line="240" w:lineRule="exact"/>
              <w:jc w:val="both"/>
              <w:rPr>
                <w:sz w:val="24"/>
              </w:rPr>
            </w:pPr>
            <w:r w:rsidRPr="005D16FC">
              <w:rPr>
                <w:sz w:val="24"/>
              </w:rPr>
              <w:t>Итого</w:t>
            </w:r>
          </w:p>
        </w:tc>
        <w:tc>
          <w:tcPr>
            <w:tcW w:w="1794" w:type="dxa"/>
            <w:vAlign w:val="center"/>
          </w:tcPr>
          <w:p w:rsidR="00AF2B6D" w:rsidRPr="005D16FC" w:rsidRDefault="00AF2B6D" w:rsidP="005D16FC">
            <w:pPr>
              <w:spacing w:line="240" w:lineRule="exact"/>
              <w:jc w:val="center"/>
              <w:rPr>
                <w:sz w:val="24"/>
              </w:rPr>
            </w:pPr>
            <w:r w:rsidRPr="005D16FC">
              <w:rPr>
                <w:sz w:val="24"/>
              </w:rPr>
              <w:t>-</w:t>
            </w:r>
          </w:p>
        </w:tc>
        <w:tc>
          <w:tcPr>
            <w:tcW w:w="2410" w:type="dxa"/>
            <w:vAlign w:val="center"/>
          </w:tcPr>
          <w:p w:rsidR="00AF2B6D" w:rsidRPr="005D16FC" w:rsidRDefault="00AF2B6D" w:rsidP="005D16FC">
            <w:pPr>
              <w:spacing w:line="240" w:lineRule="exact"/>
              <w:jc w:val="center"/>
              <w:rPr>
                <w:sz w:val="24"/>
              </w:rPr>
            </w:pPr>
            <w:r w:rsidRPr="005D16FC">
              <w:rPr>
                <w:sz w:val="24"/>
              </w:rPr>
              <w:t>3/478,6</w:t>
            </w:r>
          </w:p>
        </w:tc>
      </w:tr>
      <w:tr w:rsidR="00AF2B6D" w:rsidRPr="005D16FC" w:rsidTr="005D16FC">
        <w:tc>
          <w:tcPr>
            <w:tcW w:w="5495" w:type="dxa"/>
            <w:vAlign w:val="center"/>
          </w:tcPr>
          <w:p w:rsidR="00AF2B6D" w:rsidRPr="005D16FC" w:rsidRDefault="00AF2B6D" w:rsidP="005D16FC">
            <w:pPr>
              <w:spacing w:line="240" w:lineRule="exact"/>
              <w:jc w:val="both"/>
              <w:rPr>
                <w:sz w:val="24"/>
              </w:rPr>
            </w:pPr>
            <w:r w:rsidRPr="005D16FC">
              <w:rPr>
                <w:sz w:val="24"/>
              </w:rPr>
              <w:t>ВСЕГО</w:t>
            </w:r>
          </w:p>
        </w:tc>
        <w:tc>
          <w:tcPr>
            <w:tcW w:w="1794" w:type="dxa"/>
            <w:vAlign w:val="center"/>
          </w:tcPr>
          <w:p w:rsidR="00AF2B6D" w:rsidRPr="005D16FC" w:rsidRDefault="00AF2B6D" w:rsidP="005D16FC">
            <w:pPr>
              <w:spacing w:line="240" w:lineRule="exact"/>
              <w:jc w:val="center"/>
              <w:rPr>
                <w:sz w:val="24"/>
              </w:rPr>
            </w:pPr>
            <w:r w:rsidRPr="005D16FC">
              <w:rPr>
                <w:sz w:val="24"/>
              </w:rPr>
              <w:t>4</w:t>
            </w:r>
          </w:p>
        </w:tc>
        <w:tc>
          <w:tcPr>
            <w:tcW w:w="2410" w:type="dxa"/>
            <w:vAlign w:val="center"/>
          </w:tcPr>
          <w:p w:rsidR="00AF2B6D" w:rsidRPr="005D16FC" w:rsidRDefault="00AF2B6D" w:rsidP="005D16FC">
            <w:pPr>
              <w:spacing w:line="240" w:lineRule="exact"/>
              <w:jc w:val="center"/>
              <w:rPr>
                <w:sz w:val="24"/>
              </w:rPr>
            </w:pPr>
            <w:r w:rsidRPr="005D16FC">
              <w:rPr>
                <w:sz w:val="24"/>
              </w:rPr>
              <w:t>5/6873,7</w:t>
            </w:r>
          </w:p>
        </w:tc>
      </w:tr>
    </w:tbl>
    <w:p w:rsidR="00D11C61" w:rsidRPr="00624A92" w:rsidRDefault="00D11C61" w:rsidP="00D11C61">
      <w:pPr>
        <w:pStyle w:val="a3"/>
        <w:spacing w:line="240" w:lineRule="exact"/>
        <w:jc w:val="center"/>
        <w:rPr>
          <w:szCs w:val="28"/>
        </w:rPr>
      </w:pPr>
    </w:p>
    <w:sectPr w:rsidR="00D11C61" w:rsidRPr="00624A92" w:rsidSect="00132834">
      <w:pgSz w:w="11906" w:h="16838"/>
      <w:pgMar w:top="675" w:right="567" w:bottom="1134" w:left="1418" w:header="284"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ACD" w:rsidRDefault="00F64ACD">
      <w:r>
        <w:separator/>
      </w:r>
    </w:p>
  </w:endnote>
  <w:endnote w:type="continuationSeparator" w:id="1">
    <w:p w:rsidR="00F64ACD" w:rsidRDefault="00F64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ACD" w:rsidRDefault="00F64ACD">
      <w:r>
        <w:separator/>
      </w:r>
    </w:p>
  </w:footnote>
  <w:footnote w:type="continuationSeparator" w:id="1">
    <w:p w:rsidR="00F64ACD" w:rsidRDefault="00F64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68" w:rsidRDefault="002B1018">
    <w:pPr>
      <w:pStyle w:val="a5"/>
      <w:jc w:val="center"/>
    </w:pPr>
    <w:fldSimple w:instr=" PAGE   \* MERGEFORMAT ">
      <w:r w:rsidR="00513B97">
        <w:rPr>
          <w:noProof/>
        </w:rPr>
        <w:t>9</w:t>
      </w:r>
    </w:fldSimple>
  </w:p>
  <w:p w:rsidR="00284A68" w:rsidRDefault="00284A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5C414F"/>
    <w:multiLevelType w:val="hybridMultilevel"/>
    <w:tmpl w:val="4E267962"/>
    <w:lvl w:ilvl="0" w:tplc="3FC0FF8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8">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0">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14">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18">
    <w:nsid w:val="5C6E3665"/>
    <w:multiLevelType w:val="hybridMultilevel"/>
    <w:tmpl w:val="8500BD4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A43EFD"/>
    <w:multiLevelType w:val="hybridMultilevel"/>
    <w:tmpl w:val="7A00CB20"/>
    <w:lvl w:ilvl="0" w:tplc="037ACD96">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EC13D8A"/>
    <w:multiLevelType w:val="hybridMultilevel"/>
    <w:tmpl w:val="372E606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7">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2">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24"/>
  </w:num>
  <w:num w:numId="2">
    <w:abstractNumId w:val="30"/>
  </w:num>
  <w:num w:numId="3">
    <w:abstractNumId w:val="14"/>
  </w:num>
  <w:num w:numId="4">
    <w:abstractNumId w:val="27"/>
  </w:num>
  <w:num w:numId="5">
    <w:abstractNumId w:val="33"/>
  </w:num>
  <w:num w:numId="6">
    <w:abstractNumId w:val="17"/>
  </w:num>
  <w:num w:numId="7">
    <w:abstractNumId w:val="12"/>
  </w:num>
  <w:num w:numId="8">
    <w:abstractNumId w:val="29"/>
  </w:num>
  <w:num w:numId="9">
    <w:abstractNumId w:val="9"/>
  </w:num>
  <w:num w:numId="10">
    <w:abstractNumId w:val="10"/>
  </w:num>
  <w:num w:numId="11">
    <w:abstractNumId w:val="26"/>
  </w:num>
  <w:num w:numId="12">
    <w:abstractNumId w:val="3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31"/>
  </w:num>
  <w:num w:numId="17">
    <w:abstractNumId w:val="3"/>
  </w:num>
  <w:num w:numId="18">
    <w:abstractNumId w:val="7"/>
  </w:num>
  <w:num w:numId="19">
    <w:abstractNumId w:val="0"/>
  </w:num>
  <w:num w:numId="20">
    <w:abstractNumId w:val="2"/>
  </w:num>
  <w:num w:numId="21">
    <w:abstractNumId w:val="19"/>
  </w:num>
  <w:num w:numId="22">
    <w:abstractNumId w:val="4"/>
  </w:num>
  <w:num w:numId="23">
    <w:abstractNumId w:val="21"/>
  </w:num>
  <w:num w:numId="24">
    <w:abstractNumId w:val="28"/>
  </w:num>
  <w:num w:numId="25">
    <w:abstractNumId w:val="11"/>
  </w:num>
  <w:num w:numId="26">
    <w:abstractNumId w:val="5"/>
  </w:num>
  <w:num w:numId="27">
    <w:abstractNumId w:val="22"/>
  </w:num>
  <w:num w:numId="28">
    <w:abstractNumId w:val="20"/>
  </w:num>
  <w:num w:numId="29">
    <w:abstractNumId w:val="15"/>
  </w:num>
  <w:num w:numId="30">
    <w:abstractNumId w:val="25"/>
  </w:num>
  <w:num w:numId="31">
    <w:abstractNumId w:val="16"/>
  </w:num>
  <w:num w:numId="32">
    <w:abstractNumId w:val="8"/>
  </w:num>
  <w:num w:numId="33">
    <w:abstractNumId w:val="18"/>
  </w:num>
  <w:num w:numId="34">
    <w:abstractNumId w:val="6"/>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357"/>
  <w:drawingGridHorizontalSpacing w:val="140"/>
  <w:drawingGridVerticalSpacing w:val="381"/>
  <w:displayHorizontalDrawingGridEvery w:val="0"/>
  <w:noPunctuationKerning/>
  <w:characterSpacingControl w:val="doNotCompress"/>
  <w:hdrShapeDefaults>
    <o:shapedefaults v:ext="edit" spidmax="17410"/>
  </w:hdrShapeDefaults>
  <w:footnotePr>
    <w:footnote w:id="0"/>
    <w:footnote w:id="1"/>
  </w:footnotePr>
  <w:endnotePr>
    <w:endnote w:id="0"/>
    <w:endnote w:id="1"/>
  </w:endnotePr>
  <w:compat/>
  <w:rsids>
    <w:rsidRoot w:val="00C41242"/>
    <w:rsid w:val="00000FD2"/>
    <w:rsid w:val="00001178"/>
    <w:rsid w:val="0000183F"/>
    <w:rsid w:val="000028E4"/>
    <w:rsid w:val="00003F6D"/>
    <w:rsid w:val="000049BE"/>
    <w:rsid w:val="000076BF"/>
    <w:rsid w:val="00007796"/>
    <w:rsid w:val="00011FEB"/>
    <w:rsid w:val="00013305"/>
    <w:rsid w:val="00013611"/>
    <w:rsid w:val="00013CEB"/>
    <w:rsid w:val="000158CE"/>
    <w:rsid w:val="00016BE8"/>
    <w:rsid w:val="00017864"/>
    <w:rsid w:val="0002200F"/>
    <w:rsid w:val="00022625"/>
    <w:rsid w:val="00022DD0"/>
    <w:rsid w:val="00023045"/>
    <w:rsid w:val="00024274"/>
    <w:rsid w:val="00024E19"/>
    <w:rsid w:val="00025655"/>
    <w:rsid w:val="000272C2"/>
    <w:rsid w:val="00027910"/>
    <w:rsid w:val="00027A41"/>
    <w:rsid w:val="00030EF4"/>
    <w:rsid w:val="00030F7A"/>
    <w:rsid w:val="00031240"/>
    <w:rsid w:val="000312F8"/>
    <w:rsid w:val="00031592"/>
    <w:rsid w:val="00032544"/>
    <w:rsid w:val="00032EA4"/>
    <w:rsid w:val="0003781D"/>
    <w:rsid w:val="000402C1"/>
    <w:rsid w:val="00041400"/>
    <w:rsid w:val="000427BB"/>
    <w:rsid w:val="00042C5B"/>
    <w:rsid w:val="00044600"/>
    <w:rsid w:val="0005067E"/>
    <w:rsid w:val="000510F7"/>
    <w:rsid w:val="0005176B"/>
    <w:rsid w:val="00055E4F"/>
    <w:rsid w:val="00061AF1"/>
    <w:rsid w:val="00062584"/>
    <w:rsid w:val="00062908"/>
    <w:rsid w:val="00063374"/>
    <w:rsid w:val="000635B2"/>
    <w:rsid w:val="00063A10"/>
    <w:rsid w:val="00064A28"/>
    <w:rsid w:val="00065537"/>
    <w:rsid w:val="00065CC6"/>
    <w:rsid w:val="00070BA6"/>
    <w:rsid w:val="00070F36"/>
    <w:rsid w:val="00075157"/>
    <w:rsid w:val="00075800"/>
    <w:rsid w:val="00076473"/>
    <w:rsid w:val="0007790F"/>
    <w:rsid w:val="00081811"/>
    <w:rsid w:val="00082244"/>
    <w:rsid w:val="000836E1"/>
    <w:rsid w:val="00083E89"/>
    <w:rsid w:val="00084FCF"/>
    <w:rsid w:val="000911A7"/>
    <w:rsid w:val="00094016"/>
    <w:rsid w:val="000950F4"/>
    <w:rsid w:val="000A2AAA"/>
    <w:rsid w:val="000A2E90"/>
    <w:rsid w:val="000A39D0"/>
    <w:rsid w:val="000A611C"/>
    <w:rsid w:val="000A699C"/>
    <w:rsid w:val="000B103F"/>
    <w:rsid w:val="000B331B"/>
    <w:rsid w:val="000B3C38"/>
    <w:rsid w:val="000B44DA"/>
    <w:rsid w:val="000B67F6"/>
    <w:rsid w:val="000B7842"/>
    <w:rsid w:val="000C4B43"/>
    <w:rsid w:val="000C4B90"/>
    <w:rsid w:val="000C6AC7"/>
    <w:rsid w:val="000C6E5F"/>
    <w:rsid w:val="000C7717"/>
    <w:rsid w:val="000D02A7"/>
    <w:rsid w:val="000D0929"/>
    <w:rsid w:val="000D0B4B"/>
    <w:rsid w:val="000D11DC"/>
    <w:rsid w:val="000D3A69"/>
    <w:rsid w:val="000D5A58"/>
    <w:rsid w:val="000E52E7"/>
    <w:rsid w:val="000E548B"/>
    <w:rsid w:val="000F102E"/>
    <w:rsid w:val="000F1708"/>
    <w:rsid w:val="000F240E"/>
    <w:rsid w:val="000F2524"/>
    <w:rsid w:val="000F44E5"/>
    <w:rsid w:val="000F5161"/>
    <w:rsid w:val="000F6B11"/>
    <w:rsid w:val="000F6CA4"/>
    <w:rsid w:val="000F6E19"/>
    <w:rsid w:val="000F6EE1"/>
    <w:rsid w:val="000F7B0D"/>
    <w:rsid w:val="0010034A"/>
    <w:rsid w:val="0010070A"/>
    <w:rsid w:val="00100887"/>
    <w:rsid w:val="00101348"/>
    <w:rsid w:val="001037AC"/>
    <w:rsid w:val="00104E15"/>
    <w:rsid w:val="001062E5"/>
    <w:rsid w:val="00107EAC"/>
    <w:rsid w:val="00113392"/>
    <w:rsid w:val="00113406"/>
    <w:rsid w:val="0011465E"/>
    <w:rsid w:val="00120C92"/>
    <w:rsid w:val="0012312C"/>
    <w:rsid w:val="00125BA9"/>
    <w:rsid w:val="00132834"/>
    <w:rsid w:val="001330C1"/>
    <w:rsid w:val="00133D6C"/>
    <w:rsid w:val="00134DFB"/>
    <w:rsid w:val="00134E27"/>
    <w:rsid w:val="00134FAD"/>
    <w:rsid w:val="001358D7"/>
    <w:rsid w:val="00136EC6"/>
    <w:rsid w:val="00142FA0"/>
    <w:rsid w:val="0014387C"/>
    <w:rsid w:val="00146177"/>
    <w:rsid w:val="0015065B"/>
    <w:rsid w:val="00154FB2"/>
    <w:rsid w:val="00162884"/>
    <w:rsid w:val="00164061"/>
    <w:rsid w:val="00165121"/>
    <w:rsid w:val="00166691"/>
    <w:rsid w:val="00166A29"/>
    <w:rsid w:val="0016737F"/>
    <w:rsid w:val="001711DD"/>
    <w:rsid w:val="00172A0C"/>
    <w:rsid w:val="00174CA0"/>
    <w:rsid w:val="00176697"/>
    <w:rsid w:val="00176902"/>
    <w:rsid w:val="00177662"/>
    <w:rsid w:val="00180440"/>
    <w:rsid w:val="001855EA"/>
    <w:rsid w:val="00187340"/>
    <w:rsid w:val="001910B5"/>
    <w:rsid w:val="0019300C"/>
    <w:rsid w:val="00195766"/>
    <w:rsid w:val="00196247"/>
    <w:rsid w:val="0019640A"/>
    <w:rsid w:val="00197216"/>
    <w:rsid w:val="001979B2"/>
    <w:rsid w:val="00197FCC"/>
    <w:rsid w:val="001A3658"/>
    <w:rsid w:val="001A4458"/>
    <w:rsid w:val="001A4B23"/>
    <w:rsid w:val="001A550E"/>
    <w:rsid w:val="001A6483"/>
    <w:rsid w:val="001B23D6"/>
    <w:rsid w:val="001B3804"/>
    <w:rsid w:val="001B3F22"/>
    <w:rsid w:val="001B423C"/>
    <w:rsid w:val="001B579F"/>
    <w:rsid w:val="001B5F8F"/>
    <w:rsid w:val="001B60DE"/>
    <w:rsid w:val="001B7F50"/>
    <w:rsid w:val="001C0A6A"/>
    <w:rsid w:val="001C1F12"/>
    <w:rsid w:val="001C3BCE"/>
    <w:rsid w:val="001D101C"/>
    <w:rsid w:val="001D15C4"/>
    <w:rsid w:val="001D253A"/>
    <w:rsid w:val="001D29D0"/>
    <w:rsid w:val="001D3E5E"/>
    <w:rsid w:val="001D402E"/>
    <w:rsid w:val="001D79C2"/>
    <w:rsid w:val="001E1874"/>
    <w:rsid w:val="001E18F6"/>
    <w:rsid w:val="001E4593"/>
    <w:rsid w:val="001E707C"/>
    <w:rsid w:val="001E7B25"/>
    <w:rsid w:val="001F08A9"/>
    <w:rsid w:val="001F14CD"/>
    <w:rsid w:val="001F155D"/>
    <w:rsid w:val="001F4D6E"/>
    <w:rsid w:val="001F6766"/>
    <w:rsid w:val="001F7915"/>
    <w:rsid w:val="001F7EF5"/>
    <w:rsid w:val="00200B42"/>
    <w:rsid w:val="002020CC"/>
    <w:rsid w:val="00205FED"/>
    <w:rsid w:val="00206C71"/>
    <w:rsid w:val="0021106D"/>
    <w:rsid w:val="00217405"/>
    <w:rsid w:val="00221C3F"/>
    <w:rsid w:val="002232BA"/>
    <w:rsid w:val="00223585"/>
    <w:rsid w:val="00223ADE"/>
    <w:rsid w:val="00226863"/>
    <w:rsid w:val="0022716C"/>
    <w:rsid w:val="002271BB"/>
    <w:rsid w:val="00227788"/>
    <w:rsid w:val="00227858"/>
    <w:rsid w:val="0023169E"/>
    <w:rsid w:val="00231E8B"/>
    <w:rsid w:val="002336A3"/>
    <w:rsid w:val="00241F60"/>
    <w:rsid w:val="002435A1"/>
    <w:rsid w:val="00244886"/>
    <w:rsid w:val="00245E20"/>
    <w:rsid w:val="00245E6B"/>
    <w:rsid w:val="00247653"/>
    <w:rsid w:val="00254B32"/>
    <w:rsid w:val="00255D5D"/>
    <w:rsid w:val="0025676D"/>
    <w:rsid w:val="00257023"/>
    <w:rsid w:val="0026293B"/>
    <w:rsid w:val="00265EC8"/>
    <w:rsid w:val="002660BC"/>
    <w:rsid w:val="00267F31"/>
    <w:rsid w:val="00273DD4"/>
    <w:rsid w:val="00275BAE"/>
    <w:rsid w:val="00276F76"/>
    <w:rsid w:val="00277C1F"/>
    <w:rsid w:val="002805DD"/>
    <w:rsid w:val="0028321D"/>
    <w:rsid w:val="00283810"/>
    <w:rsid w:val="00284884"/>
    <w:rsid w:val="00284A68"/>
    <w:rsid w:val="00284FF6"/>
    <w:rsid w:val="00285111"/>
    <w:rsid w:val="00285B86"/>
    <w:rsid w:val="00285D98"/>
    <w:rsid w:val="002869F3"/>
    <w:rsid w:val="00294BEB"/>
    <w:rsid w:val="00295350"/>
    <w:rsid w:val="00295C18"/>
    <w:rsid w:val="00296E59"/>
    <w:rsid w:val="002A21CE"/>
    <w:rsid w:val="002A78C8"/>
    <w:rsid w:val="002B1018"/>
    <w:rsid w:val="002B1639"/>
    <w:rsid w:val="002B1E83"/>
    <w:rsid w:val="002B4CDD"/>
    <w:rsid w:val="002B745F"/>
    <w:rsid w:val="002C1B71"/>
    <w:rsid w:val="002C2000"/>
    <w:rsid w:val="002C363E"/>
    <w:rsid w:val="002C63AD"/>
    <w:rsid w:val="002C6F7A"/>
    <w:rsid w:val="002D029D"/>
    <w:rsid w:val="002D149A"/>
    <w:rsid w:val="002D1D78"/>
    <w:rsid w:val="002D31EF"/>
    <w:rsid w:val="002D38F5"/>
    <w:rsid w:val="002D4298"/>
    <w:rsid w:val="002D6BE6"/>
    <w:rsid w:val="002D6C39"/>
    <w:rsid w:val="002E63E8"/>
    <w:rsid w:val="002E7122"/>
    <w:rsid w:val="002F14EB"/>
    <w:rsid w:val="002F582F"/>
    <w:rsid w:val="002F6F11"/>
    <w:rsid w:val="002F701F"/>
    <w:rsid w:val="002F7094"/>
    <w:rsid w:val="002F727A"/>
    <w:rsid w:val="00303D98"/>
    <w:rsid w:val="00306773"/>
    <w:rsid w:val="0031623E"/>
    <w:rsid w:val="0032041B"/>
    <w:rsid w:val="00322035"/>
    <w:rsid w:val="00322185"/>
    <w:rsid w:val="00322F39"/>
    <w:rsid w:val="00323145"/>
    <w:rsid w:val="003312C5"/>
    <w:rsid w:val="00331BAA"/>
    <w:rsid w:val="0033319C"/>
    <w:rsid w:val="0033432F"/>
    <w:rsid w:val="00341CE0"/>
    <w:rsid w:val="00346CA7"/>
    <w:rsid w:val="00347AB5"/>
    <w:rsid w:val="00350AF7"/>
    <w:rsid w:val="003528FD"/>
    <w:rsid w:val="003531B5"/>
    <w:rsid w:val="0035421A"/>
    <w:rsid w:val="00355F21"/>
    <w:rsid w:val="0035767B"/>
    <w:rsid w:val="0036290D"/>
    <w:rsid w:val="0036303C"/>
    <w:rsid w:val="00370A08"/>
    <w:rsid w:val="00371067"/>
    <w:rsid w:val="00371E3E"/>
    <w:rsid w:val="0037289C"/>
    <w:rsid w:val="0037493B"/>
    <w:rsid w:val="003760A8"/>
    <w:rsid w:val="003763BB"/>
    <w:rsid w:val="0037644D"/>
    <w:rsid w:val="003775B7"/>
    <w:rsid w:val="00383102"/>
    <w:rsid w:val="00383654"/>
    <w:rsid w:val="003842A9"/>
    <w:rsid w:val="00387010"/>
    <w:rsid w:val="003916C5"/>
    <w:rsid w:val="00391CAA"/>
    <w:rsid w:val="003921C2"/>
    <w:rsid w:val="0039760A"/>
    <w:rsid w:val="003976E9"/>
    <w:rsid w:val="003A2320"/>
    <w:rsid w:val="003A2353"/>
    <w:rsid w:val="003A2895"/>
    <w:rsid w:val="003A28D9"/>
    <w:rsid w:val="003B25B2"/>
    <w:rsid w:val="003B489C"/>
    <w:rsid w:val="003B5F12"/>
    <w:rsid w:val="003B7B1C"/>
    <w:rsid w:val="003B7B48"/>
    <w:rsid w:val="003C3147"/>
    <w:rsid w:val="003C3A0F"/>
    <w:rsid w:val="003C54B2"/>
    <w:rsid w:val="003C65B5"/>
    <w:rsid w:val="003C6637"/>
    <w:rsid w:val="003C7C77"/>
    <w:rsid w:val="003D0880"/>
    <w:rsid w:val="003D1617"/>
    <w:rsid w:val="003D28CA"/>
    <w:rsid w:val="003D2BF3"/>
    <w:rsid w:val="003D2D07"/>
    <w:rsid w:val="003D3C49"/>
    <w:rsid w:val="003D6FF1"/>
    <w:rsid w:val="003D7CC2"/>
    <w:rsid w:val="003E002F"/>
    <w:rsid w:val="003E195B"/>
    <w:rsid w:val="003E1DB5"/>
    <w:rsid w:val="003F1221"/>
    <w:rsid w:val="003F1AB9"/>
    <w:rsid w:val="003F4E02"/>
    <w:rsid w:val="003F53DF"/>
    <w:rsid w:val="003F6029"/>
    <w:rsid w:val="003F777B"/>
    <w:rsid w:val="003F782D"/>
    <w:rsid w:val="003F7F55"/>
    <w:rsid w:val="00401540"/>
    <w:rsid w:val="00402C0A"/>
    <w:rsid w:val="00410699"/>
    <w:rsid w:val="00411952"/>
    <w:rsid w:val="00411B22"/>
    <w:rsid w:val="00413672"/>
    <w:rsid w:val="00415AC8"/>
    <w:rsid w:val="00415BEE"/>
    <w:rsid w:val="00415D4A"/>
    <w:rsid w:val="00416632"/>
    <w:rsid w:val="00416DD9"/>
    <w:rsid w:val="00417CB1"/>
    <w:rsid w:val="004213AB"/>
    <w:rsid w:val="00423B88"/>
    <w:rsid w:val="0042688C"/>
    <w:rsid w:val="0043221C"/>
    <w:rsid w:val="00433395"/>
    <w:rsid w:val="00441E9A"/>
    <w:rsid w:val="0045159C"/>
    <w:rsid w:val="00452258"/>
    <w:rsid w:val="004528CF"/>
    <w:rsid w:val="00454312"/>
    <w:rsid w:val="004552F6"/>
    <w:rsid w:val="004554E1"/>
    <w:rsid w:val="00457188"/>
    <w:rsid w:val="00457D8E"/>
    <w:rsid w:val="00461233"/>
    <w:rsid w:val="00461A13"/>
    <w:rsid w:val="00461C13"/>
    <w:rsid w:val="00464145"/>
    <w:rsid w:val="00467B1A"/>
    <w:rsid w:val="004721B8"/>
    <w:rsid w:val="00473F3A"/>
    <w:rsid w:val="004744E1"/>
    <w:rsid w:val="00475F6B"/>
    <w:rsid w:val="0047634C"/>
    <w:rsid w:val="004767B5"/>
    <w:rsid w:val="0048174F"/>
    <w:rsid w:val="004822AF"/>
    <w:rsid w:val="00485BA0"/>
    <w:rsid w:val="00487016"/>
    <w:rsid w:val="00487D2A"/>
    <w:rsid w:val="00490008"/>
    <w:rsid w:val="00491EBF"/>
    <w:rsid w:val="00493B2C"/>
    <w:rsid w:val="00493B51"/>
    <w:rsid w:val="00493D5E"/>
    <w:rsid w:val="00495672"/>
    <w:rsid w:val="00497DD9"/>
    <w:rsid w:val="004A0C85"/>
    <w:rsid w:val="004A1844"/>
    <w:rsid w:val="004A319E"/>
    <w:rsid w:val="004A3955"/>
    <w:rsid w:val="004A3A9A"/>
    <w:rsid w:val="004A44C3"/>
    <w:rsid w:val="004A47E4"/>
    <w:rsid w:val="004A628B"/>
    <w:rsid w:val="004A6612"/>
    <w:rsid w:val="004B061B"/>
    <w:rsid w:val="004B071B"/>
    <w:rsid w:val="004B20B6"/>
    <w:rsid w:val="004B2C48"/>
    <w:rsid w:val="004B2CAB"/>
    <w:rsid w:val="004B337F"/>
    <w:rsid w:val="004B7E5B"/>
    <w:rsid w:val="004C5494"/>
    <w:rsid w:val="004C65D0"/>
    <w:rsid w:val="004D0671"/>
    <w:rsid w:val="004D1ADB"/>
    <w:rsid w:val="004D1DB2"/>
    <w:rsid w:val="004D288B"/>
    <w:rsid w:val="004D3C04"/>
    <w:rsid w:val="004D5317"/>
    <w:rsid w:val="004E0857"/>
    <w:rsid w:val="004E09D5"/>
    <w:rsid w:val="004E2396"/>
    <w:rsid w:val="004E3DE1"/>
    <w:rsid w:val="004E47E8"/>
    <w:rsid w:val="004E77DE"/>
    <w:rsid w:val="004F03DE"/>
    <w:rsid w:val="004F0DED"/>
    <w:rsid w:val="004F24BA"/>
    <w:rsid w:val="004F25E3"/>
    <w:rsid w:val="004F3625"/>
    <w:rsid w:val="004F5A78"/>
    <w:rsid w:val="004F5E3A"/>
    <w:rsid w:val="004F671B"/>
    <w:rsid w:val="004F6C4C"/>
    <w:rsid w:val="004F7FC6"/>
    <w:rsid w:val="00501865"/>
    <w:rsid w:val="0051000F"/>
    <w:rsid w:val="0051144B"/>
    <w:rsid w:val="00511EFA"/>
    <w:rsid w:val="00513B97"/>
    <w:rsid w:val="005141DB"/>
    <w:rsid w:val="00514FFF"/>
    <w:rsid w:val="005178B3"/>
    <w:rsid w:val="00523FA3"/>
    <w:rsid w:val="0052584B"/>
    <w:rsid w:val="00526535"/>
    <w:rsid w:val="00530075"/>
    <w:rsid w:val="00531390"/>
    <w:rsid w:val="00534B63"/>
    <w:rsid w:val="00535ACC"/>
    <w:rsid w:val="00535BE2"/>
    <w:rsid w:val="00536E66"/>
    <w:rsid w:val="00537209"/>
    <w:rsid w:val="00541239"/>
    <w:rsid w:val="005458A1"/>
    <w:rsid w:val="00546390"/>
    <w:rsid w:val="005478A8"/>
    <w:rsid w:val="005502E1"/>
    <w:rsid w:val="00552CF1"/>
    <w:rsid w:val="00562FD7"/>
    <w:rsid w:val="00565B7C"/>
    <w:rsid w:val="00567676"/>
    <w:rsid w:val="0056787C"/>
    <w:rsid w:val="00571D07"/>
    <w:rsid w:val="00577A0F"/>
    <w:rsid w:val="00580CA8"/>
    <w:rsid w:val="005817A0"/>
    <w:rsid w:val="005829CD"/>
    <w:rsid w:val="00585ECA"/>
    <w:rsid w:val="0059127C"/>
    <w:rsid w:val="0059215C"/>
    <w:rsid w:val="0059433E"/>
    <w:rsid w:val="00595122"/>
    <w:rsid w:val="00595A5A"/>
    <w:rsid w:val="00595FEE"/>
    <w:rsid w:val="005A1461"/>
    <w:rsid w:val="005A2A16"/>
    <w:rsid w:val="005A3CD5"/>
    <w:rsid w:val="005A40C8"/>
    <w:rsid w:val="005A6B83"/>
    <w:rsid w:val="005A6D1F"/>
    <w:rsid w:val="005B01D0"/>
    <w:rsid w:val="005B07AE"/>
    <w:rsid w:val="005B130C"/>
    <w:rsid w:val="005B7AF7"/>
    <w:rsid w:val="005C0E2F"/>
    <w:rsid w:val="005C3B06"/>
    <w:rsid w:val="005C40A9"/>
    <w:rsid w:val="005C68A1"/>
    <w:rsid w:val="005D0077"/>
    <w:rsid w:val="005D16FC"/>
    <w:rsid w:val="005D17C6"/>
    <w:rsid w:val="005D1C36"/>
    <w:rsid w:val="005D1E79"/>
    <w:rsid w:val="005D2488"/>
    <w:rsid w:val="005D3F3B"/>
    <w:rsid w:val="005D4619"/>
    <w:rsid w:val="005D6EBF"/>
    <w:rsid w:val="005D7335"/>
    <w:rsid w:val="005E06A2"/>
    <w:rsid w:val="005E0D39"/>
    <w:rsid w:val="005E1FDB"/>
    <w:rsid w:val="005E2403"/>
    <w:rsid w:val="005E3324"/>
    <w:rsid w:val="005F07A8"/>
    <w:rsid w:val="005F136C"/>
    <w:rsid w:val="005F273F"/>
    <w:rsid w:val="005F39D0"/>
    <w:rsid w:val="005F4E55"/>
    <w:rsid w:val="005F54B9"/>
    <w:rsid w:val="005F60A8"/>
    <w:rsid w:val="005F6239"/>
    <w:rsid w:val="005F7627"/>
    <w:rsid w:val="00600148"/>
    <w:rsid w:val="00602F89"/>
    <w:rsid w:val="006055AC"/>
    <w:rsid w:val="00605702"/>
    <w:rsid w:val="00606660"/>
    <w:rsid w:val="0060777C"/>
    <w:rsid w:val="006110C7"/>
    <w:rsid w:val="006121F0"/>
    <w:rsid w:val="0061629D"/>
    <w:rsid w:val="006170C2"/>
    <w:rsid w:val="00617512"/>
    <w:rsid w:val="00621048"/>
    <w:rsid w:val="006217B4"/>
    <w:rsid w:val="00621FFF"/>
    <w:rsid w:val="00622071"/>
    <w:rsid w:val="00622A02"/>
    <w:rsid w:val="00622A4A"/>
    <w:rsid w:val="006236D9"/>
    <w:rsid w:val="00624A92"/>
    <w:rsid w:val="0062554E"/>
    <w:rsid w:val="006268EF"/>
    <w:rsid w:val="006303E1"/>
    <w:rsid w:val="00631FD8"/>
    <w:rsid w:val="00634025"/>
    <w:rsid w:val="0063454A"/>
    <w:rsid w:val="006368FE"/>
    <w:rsid w:val="006439C1"/>
    <w:rsid w:val="006517B4"/>
    <w:rsid w:val="00651CC4"/>
    <w:rsid w:val="0065439D"/>
    <w:rsid w:val="00656401"/>
    <w:rsid w:val="00656EF0"/>
    <w:rsid w:val="006600BA"/>
    <w:rsid w:val="00664B0F"/>
    <w:rsid w:val="00665AB5"/>
    <w:rsid w:val="00671EAC"/>
    <w:rsid w:val="00673DE9"/>
    <w:rsid w:val="00675EE2"/>
    <w:rsid w:val="006779C2"/>
    <w:rsid w:val="0068015B"/>
    <w:rsid w:val="0068293F"/>
    <w:rsid w:val="006859A8"/>
    <w:rsid w:val="00685E06"/>
    <w:rsid w:val="006863A2"/>
    <w:rsid w:val="0069554C"/>
    <w:rsid w:val="006A21DD"/>
    <w:rsid w:val="006A3A80"/>
    <w:rsid w:val="006A41AB"/>
    <w:rsid w:val="006A4B40"/>
    <w:rsid w:val="006A770F"/>
    <w:rsid w:val="006B13B0"/>
    <w:rsid w:val="006B17DC"/>
    <w:rsid w:val="006B1C45"/>
    <w:rsid w:val="006B26B4"/>
    <w:rsid w:val="006B2F07"/>
    <w:rsid w:val="006B4659"/>
    <w:rsid w:val="006B6D6D"/>
    <w:rsid w:val="006C5A82"/>
    <w:rsid w:val="006C5C57"/>
    <w:rsid w:val="006C7915"/>
    <w:rsid w:val="006C7AC9"/>
    <w:rsid w:val="006D1020"/>
    <w:rsid w:val="006D1958"/>
    <w:rsid w:val="006D4B64"/>
    <w:rsid w:val="006D6441"/>
    <w:rsid w:val="006D7571"/>
    <w:rsid w:val="006E2C82"/>
    <w:rsid w:val="006E50CE"/>
    <w:rsid w:val="006E5394"/>
    <w:rsid w:val="006E59A7"/>
    <w:rsid w:val="006E5BEC"/>
    <w:rsid w:val="006E7A18"/>
    <w:rsid w:val="006F0E12"/>
    <w:rsid w:val="006F20DB"/>
    <w:rsid w:val="006F2E6E"/>
    <w:rsid w:val="006F2F46"/>
    <w:rsid w:val="006F6685"/>
    <w:rsid w:val="006F6C10"/>
    <w:rsid w:val="006F76D9"/>
    <w:rsid w:val="006F7843"/>
    <w:rsid w:val="0070080F"/>
    <w:rsid w:val="00700DE4"/>
    <w:rsid w:val="007045F2"/>
    <w:rsid w:val="007055CB"/>
    <w:rsid w:val="00705E24"/>
    <w:rsid w:val="00706475"/>
    <w:rsid w:val="0070691E"/>
    <w:rsid w:val="007121DF"/>
    <w:rsid w:val="007129CE"/>
    <w:rsid w:val="007137A7"/>
    <w:rsid w:val="00714FD7"/>
    <w:rsid w:val="007164FC"/>
    <w:rsid w:val="007166CA"/>
    <w:rsid w:val="00720911"/>
    <w:rsid w:val="00721CE7"/>
    <w:rsid w:val="007273E5"/>
    <w:rsid w:val="007277E5"/>
    <w:rsid w:val="00727EBB"/>
    <w:rsid w:val="0073569F"/>
    <w:rsid w:val="007400D2"/>
    <w:rsid w:val="0074206D"/>
    <w:rsid w:val="007437EF"/>
    <w:rsid w:val="00743DBF"/>
    <w:rsid w:val="00745BAA"/>
    <w:rsid w:val="007473B1"/>
    <w:rsid w:val="00751A75"/>
    <w:rsid w:val="00752B4C"/>
    <w:rsid w:val="00753BDA"/>
    <w:rsid w:val="00754895"/>
    <w:rsid w:val="0075520E"/>
    <w:rsid w:val="0075546A"/>
    <w:rsid w:val="00755A26"/>
    <w:rsid w:val="007575C4"/>
    <w:rsid w:val="007576A7"/>
    <w:rsid w:val="0075793D"/>
    <w:rsid w:val="007638F1"/>
    <w:rsid w:val="0076422E"/>
    <w:rsid w:val="00764527"/>
    <w:rsid w:val="00764736"/>
    <w:rsid w:val="00765E75"/>
    <w:rsid w:val="00766B11"/>
    <w:rsid w:val="00766B52"/>
    <w:rsid w:val="00770423"/>
    <w:rsid w:val="007709DA"/>
    <w:rsid w:val="00771384"/>
    <w:rsid w:val="00771ADA"/>
    <w:rsid w:val="0077222A"/>
    <w:rsid w:val="00775C70"/>
    <w:rsid w:val="00776937"/>
    <w:rsid w:val="0077776C"/>
    <w:rsid w:val="007844F8"/>
    <w:rsid w:val="0078647F"/>
    <w:rsid w:val="007907C5"/>
    <w:rsid w:val="0079344C"/>
    <w:rsid w:val="007969D1"/>
    <w:rsid w:val="007A0759"/>
    <w:rsid w:val="007A2FAE"/>
    <w:rsid w:val="007A315C"/>
    <w:rsid w:val="007A55F7"/>
    <w:rsid w:val="007A776B"/>
    <w:rsid w:val="007A79CB"/>
    <w:rsid w:val="007B0646"/>
    <w:rsid w:val="007B15A4"/>
    <w:rsid w:val="007B4D6E"/>
    <w:rsid w:val="007B545F"/>
    <w:rsid w:val="007B6C90"/>
    <w:rsid w:val="007C1E1D"/>
    <w:rsid w:val="007C2B83"/>
    <w:rsid w:val="007C2E21"/>
    <w:rsid w:val="007C4956"/>
    <w:rsid w:val="007C5A7F"/>
    <w:rsid w:val="007D1C6F"/>
    <w:rsid w:val="007D3381"/>
    <w:rsid w:val="007D7E98"/>
    <w:rsid w:val="007E5AA0"/>
    <w:rsid w:val="007F10C1"/>
    <w:rsid w:val="007F325F"/>
    <w:rsid w:val="007F3AD9"/>
    <w:rsid w:val="007F3DBD"/>
    <w:rsid w:val="007F7AB1"/>
    <w:rsid w:val="00800E1E"/>
    <w:rsid w:val="008024E2"/>
    <w:rsid w:val="00802ED4"/>
    <w:rsid w:val="00806D33"/>
    <w:rsid w:val="00807B4F"/>
    <w:rsid w:val="00810255"/>
    <w:rsid w:val="008118E3"/>
    <w:rsid w:val="00811909"/>
    <w:rsid w:val="00811E85"/>
    <w:rsid w:val="00812D7F"/>
    <w:rsid w:val="008130ED"/>
    <w:rsid w:val="00813576"/>
    <w:rsid w:val="00814598"/>
    <w:rsid w:val="008159C0"/>
    <w:rsid w:val="00815CFA"/>
    <w:rsid w:val="0081626B"/>
    <w:rsid w:val="00817655"/>
    <w:rsid w:val="0082113D"/>
    <w:rsid w:val="00821560"/>
    <w:rsid w:val="0082191E"/>
    <w:rsid w:val="00824150"/>
    <w:rsid w:val="00824376"/>
    <w:rsid w:val="008256B8"/>
    <w:rsid w:val="00827D6C"/>
    <w:rsid w:val="00831546"/>
    <w:rsid w:val="00832D41"/>
    <w:rsid w:val="008336DA"/>
    <w:rsid w:val="00834120"/>
    <w:rsid w:val="00835A8B"/>
    <w:rsid w:val="0083631D"/>
    <w:rsid w:val="008444BA"/>
    <w:rsid w:val="00854508"/>
    <w:rsid w:val="00854DCC"/>
    <w:rsid w:val="00855D94"/>
    <w:rsid w:val="00856833"/>
    <w:rsid w:val="00857512"/>
    <w:rsid w:val="00857BBC"/>
    <w:rsid w:val="00862B22"/>
    <w:rsid w:val="008654CF"/>
    <w:rsid w:val="008656CA"/>
    <w:rsid w:val="008657F5"/>
    <w:rsid w:val="00865994"/>
    <w:rsid w:val="008659B9"/>
    <w:rsid w:val="00871F19"/>
    <w:rsid w:val="00873400"/>
    <w:rsid w:val="00880B6C"/>
    <w:rsid w:val="008848D9"/>
    <w:rsid w:val="00884A48"/>
    <w:rsid w:val="008850DE"/>
    <w:rsid w:val="0088552E"/>
    <w:rsid w:val="0088667E"/>
    <w:rsid w:val="00887A87"/>
    <w:rsid w:val="00890B20"/>
    <w:rsid w:val="0089299C"/>
    <w:rsid w:val="00892BD0"/>
    <w:rsid w:val="00892BEB"/>
    <w:rsid w:val="008936C2"/>
    <w:rsid w:val="00893BBA"/>
    <w:rsid w:val="008957E1"/>
    <w:rsid w:val="00897F6D"/>
    <w:rsid w:val="008A100E"/>
    <w:rsid w:val="008A1AC2"/>
    <w:rsid w:val="008A5DC9"/>
    <w:rsid w:val="008B1FF2"/>
    <w:rsid w:val="008B500A"/>
    <w:rsid w:val="008B7504"/>
    <w:rsid w:val="008C443E"/>
    <w:rsid w:val="008C4BC6"/>
    <w:rsid w:val="008C5A60"/>
    <w:rsid w:val="008C6BF4"/>
    <w:rsid w:val="008D633E"/>
    <w:rsid w:val="008E0578"/>
    <w:rsid w:val="008E429D"/>
    <w:rsid w:val="008E492E"/>
    <w:rsid w:val="008E49E3"/>
    <w:rsid w:val="008F0476"/>
    <w:rsid w:val="008F0A5A"/>
    <w:rsid w:val="008F47E5"/>
    <w:rsid w:val="008F6E25"/>
    <w:rsid w:val="008F7DD9"/>
    <w:rsid w:val="009001C4"/>
    <w:rsid w:val="009005CE"/>
    <w:rsid w:val="009032CF"/>
    <w:rsid w:val="00906217"/>
    <w:rsid w:val="00913E1C"/>
    <w:rsid w:val="00915C1F"/>
    <w:rsid w:val="00916FA4"/>
    <w:rsid w:val="0092023A"/>
    <w:rsid w:val="00921985"/>
    <w:rsid w:val="00924253"/>
    <w:rsid w:val="009257BD"/>
    <w:rsid w:val="00932A62"/>
    <w:rsid w:val="00934119"/>
    <w:rsid w:val="009341E2"/>
    <w:rsid w:val="00935833"/>
    <w:rsid w:val="00935946"/>
    <w:rsid w:val="0093595E"/>
    <w:rsid w:val="00940691"/>
    <w:rsid w:val="0094413A"/>
    <w:rsid w:val="00945E10"/>
    <w:rsid w:val="009477EF"/>
    <w:rsid w:val="00950F0D"/>
    <w:rsid w:val="00951C6C"/>
    <w:rsid w:val="009552CB"/>
    <w:rsid w:val="00956929"/>
    <w:rsid w:val="00957243"/>
    <w:rsid w:val="00961E57"/>
    <w:rsid w:val="00961FED"/>
    <w:rsid w:val="0096460F"/>
    <w:rsid w:val="00965613"/>
    <w:rsid w:val="00967B6F"/>
    <w:rsid w:val="00967BF5"/>
    <w:rsid w:val="009713DD"/>
    <w:rsid w:val="00972E88"/>
    <w:rsid w:val="00973552"/>
    <w:rsid w:val="009743C3"/>
    <w:rsid w:val="00974BA2"/>
    <w:rsid w:val="0098101D"/>
    <w:rsid w:val="00981453"/>
    <w:rsid w:val="00982B11"/>
    <w:rsid w:val="0099039B"/>
    <w:rsid w:val="00992400"/>
    <w:rsid w:val="0099294A"/>
    <w:rsid w:val="00992F7B"/>
    <w:rsid w:val="00996A60"/>
    <w:rsid w:val="009A190D"/>
    <w:rsid w:val="009A244D"/>
    <w:rsid w:val="009A45E0"/>
    <w:rsid w:val="009A5C93"/>
    <w:rsid w:val="009A5F2C"/>
    <w:rsid w:val="009A75F2"/>
    <w:rsid w:val="009B1903"/>
    <w:rsid w:val="009B21A5"/>
    <w:rsid w:val="009B29BC"/>
    <w:rsid w:val="009B3056"/>
    <w:rsid w:val="009B58F2"/>
    <w:rsid w:val="009B5E0F"/>
    <w:rsid w:val="009C03BB"/>
    <w:rsid w:val="009D0DDB"/>
    <w:rsid w:val="009D1C24"/>
    <w:rsid w:val="009D2541"/>
    <w:rsid w:val="009D2749"/>
    <w:rsid w:val="009D543D"/>
    <w:rsid w:val="009D6D72"/>
    <w:rsid w:val="009E0FDB"/>
    <w:rsid w:val="009E191F"/>
    <w:rsid w:val="009E4BFD"/>
    <w:rsid w:val="009E519C"/>
    <w:rsid w:val="009E51D2"/>
    <w:rsid w:val="009E5CE8"/>
    <w:rsid w:val="009F0D72"/>
    <w:rsid w:val="009F16DF"/>
    <w:rsid w:val="009F20E9"/>
    <w:rsid w:val="009F2F51"/>
    <w:rsid w:val="009F318C"/>
    <w:rsid w:val="009F3C32"/>
    <w:rsid w:val="009F4588"/>
    <w:rsid w:val="009F53CC"/>
    <w:rsid w:val="009F5534"/>
    <w:rsid w:val="009F727E"/>
    <w:rsid w:val="009F7559"/>
    <w:rsid w:val="00A003D9"/>
    <w:rsid w:val="00A00793"/>
    <w:rsid w:val="00A021E2"/>
    <w:rsid w:val="00A0558E"/>
    <w:rsid w:val="00A10A13"/>
    <w:rsid w:val="00A12BB2"/>
    <w:rsid w:val="00A1331F"/>
    <w:rsid w:val="00A13AE8"/>
    <w:rsid w:val="00A14FD5"/>
    <w:rsid w:val="00A15B5C"/>
    <w:rsid w:val="00A20210"/>
    <w:rsid w:val="00A24130"/>
    <w:rsid w:val="00A24B1C"/>
    <w:rsid w:val="00A2583A"/>
    <w:rsid w:val="00A26DA5"/>
    <w:rsid w:val="00A301ED"/>
    <w:rsid w:val="00A31010"/>
    <w:rsid w:val="00A313B8"/>
    <w:rsid w:val="00A3518F"/>
    <w:rsid w:val="00A3599B"/>
    <w:rsid w:val="00A361D5"/>
    <w:rsid w:val="00A369D2"/>
    <w:rsid w:val="00A40982"/>
    <w:rsid w:val="00A41D45"/>
    <w:rsid w:val="00A42633"/>
    <w:rsid w:val="00A42C9E"/>
    <w:rsid w:val="00A45EEC"/>
    <w:rsid w:val="00A47163"/>
    <w:rsid w:val="00A4733E"/>
    <w:rsid w:val="00A47396"/>
    <w:rsid w:val="00A503A8"/>
    <w:rsid w:val="00A52945"/>
    <w:rsid w:val="00A53C78"/>
    <w:rsid w:val="00A54A9E"/>
    <w:rsid w:val="00A575FB"/>
    <w:rsid w:val="00A57EF6"/>
    <w:rsid w:val="00A57F0A"/>
    <w:rsid w:val="00A617BA"/>
    <w:rsid w:val="00A61AB1"/>
    <w:rsid w:val="00A644E2"/>
    <w:rsid w:val="00A6693C"/>
    <w:rsid w:val="00A67E4A"/>
    <w:rsid w:val="00A71F1D"/>
    <w:rsid w:val="00A72F49"/>
    <w:rsid w:val="00A7428F"/>
    <w:rsid w:val="00A7555F"/>
    <w:rsid w:val="00A8343B"/>
    <w:rsid w:val="00A85AAF"/>
    <w:rsid w:val="00A87A1F"/>
    <w:rsid w:val="00A92508"/>
    <w:rsid w:val="00A9501F"/>
    <w:rsid w:val="00A96B40"/>
    <w:rsid w:val="00A97561"/>
    <w:rsid w:val="00AA265B"/>
    <w:rsid w:val="00AA5EFC"/>
    <w:rsid w:val="00AA7452"/>
    <w:rsid w:val="00AB2956"/>
    <w:rsid w:val="00AB2FE7"/>
    <w:rsid w:val="00AB55DC"/>
    <w:rsid w:val="00AC05E8"/>
    <w:rsid w:val="00AC08FD"/>
    <w:rsid w:val="00AC247E"/>
    <w:rsid w:val="00AC42DE"/>
    <w:rsid w:val="00AC4FE5"/>
    <w:rsid w:val="00AD0D88"/>
    <w:rsid w:val="00AD31A9"/>
    <w:rsid w:val="00AD485B"/>
    <w:rsid w:val="00AD6887"/>
    <w:rsid w:val="00AE574A"/>
    <w:rsid w:val="00AF2B6D"/>
    <w:rsid w:val="00AF4539"/>
    <w:rsid w:val="00AF549E"/>
    <w:rsid w:val="00AF6EFE"/>
    <w:rsid w:val="00AF76A3"/>
    <w:rsid w:val="00AF7904"/>
    <w:rsid w:val="00B03166"/>
    <w:rsid w:val="00B03512"/>
    <w:rsid w:val="00B04CF8"/>
    <w:rsid w:val="00B05C8A"/>
    <w:rsid w:val="00B072F4"/>
    <w:rsid w:val="00B07EF8"/>
    <w:rsid w:val="00B11BA1"/>
    <w:rsid w:val="00B17957"/>
    <w:rsid w:val="00B224F9"/>
    <w:rsid w:val="00B228E3"/>
    <w:rsid w:val="00B23600"/>
    <w:rsid w:val="00B25AF4"/>
    <w:rsid w:val="00B27BCD"/>
    <w:rsid w:val="00B324A2"/>
    <w:rsid w:val="00B36B8B"/>
    <w:rsid w:val="00B37B18"/>
    <w:rsid w:val="00B430E9"/>
    <w:rsid w:val="00B470CE"/>
    <w:rsid w:val="00B47B5B"/>
    <w:rsid w:val="00B509B3"/>
    <w:rsid w:val="00B55713"/>
    <w:rsid w:val="00B6211C"/>
    <w:rsid w:val="00B65251"/>
    <w:rsid w:val="00B67630"/>
    <w:rsid w:val="00B73509"/>
    <w:rsid w:val="00B739AB"/>
    <w:rsid w:val="00B80424"/>
    <w:rsid w:val="00B806D4"/>
    <w:rsid w:val="00B8368B"/>
    <w:rsid w:val="00B83CA7"/>
    <w:rsid w:val="00B871FF"/>
    <w:rsid w:val="00B87D13"/>
    <w:rsid w:val="00B937F3"/>
    <w:rsid w:val="00B94CE4"/>
    <w:rsid w:val="00B95BFA"/>
    <w:rsid w:val="00B9659E"/>
    <w:rsid w:val="00BA1C93"/>
    <w:rsid w:val="00BA22BA"/>
    <w:rsid w:val="00BA4A80"/>
    <w:rsid w:val="00BA66B3"/>
    <w:rsid w:val="00BA6970"/>
    <w:rsid w:val="00BB1602"/>
    <w:rsid w:val="00BB24F8"/>
    <w:rsid w:val="00BB4B1C"/>
    <w:rsid w:val="00BB5697"/>
    <w:rsid w:val="00BB6DE5"/>
    <w:rsid w:val="00BC2F75"/>
    <w:rsid w:val="00BD1733"/>
    <w:rsid w:val="00BD3D32"/>
    <w:rsid w:val="00BD57D8"/>
    <w:rsid w:val="00BD7935"/>
    <w:rsid w:val="00BD7995"/>
    <w:rsid w:val="00BE1B77"/>
    <w:rsid w:val="00BE4D08"/>
    <w:rsid w:val="00BE5B51"/>
    <w:rsid w:val="00BF07CB"/>
    <w:rsid w:val="00BF1D88"/>
    <w:rsid w:val="00BF2F97"/>
    <w:rsid w:val="00BF3AAA"/>
    <w:rsid w:val="00BF55DE"/>
    <w:rsid w:val="00BF6AAB"/>
    <w:rsid w:val="00BF7574"/>
    <w:rsid w:val="00BF7F00"/>
    <w:rsid w:val="00C05719"/>
    <w:rsid w:val="00C0584B"/>
    <w:rsid w:val="00C06E14"/>
    <w:rsid w:val="00C100E8"/>
    <w:rsid w:val="00C11178"/>
    <w:rsid w:val="00C1244B"/>
    <w:rsid w:val="00C12961"/>
    <w:rsid w:val="00C12BDB"/>
    <w:rsid w:val="00C13193"/>
    <w:rsid w:val="00C133F8"/>
    <w:rsid w:val="00C15B21"/>
    <w:rsid w:val="00C172A6"/>
    <w:rsid w:val="00C172D0"/>
    <w:rsid w:val="00C21C8C"/>
    <w:rsid w:val="00C22401"/>
    <w:rsid w:val="00C25B1F"/>
    <w:rsid w:val="00C2683E"/>
    <w:rsid w:val="00C26DB0"/>
    <w:rsid w:val="00C3128F"/>
    <w:rsid w:val="00C35CC2"/>
    <w:rsid w:val="00C36FEE"/>
    <w:rsid w:val="00C378EB"/>
    <w:rsid w:val="00C41242"/>
    <w:rsid w:val="00C425A5"/>
    <w:rsid w:val="00C43540"/>
    <w:rsid w:val="00C43793"/>
    <w:rsid w:val="00C45365"/>
    <w:rsid w:val="00C456E7"/>
    <w:rsid w:val="00C4697F"/>
    <w:rsid w:val="00C52BA2"/>
    <w:rsid w:val="00C52ED5"/>
    <w:rsid w:val="00C5583A"/>
    <w:rsid w:val="00C622D8"/>
    <w:rsid w:val="00C62A13"/>
    <w:rsid w:val="00C650A9"/>
    <w:rsid w:val="00C6665B"/>
    <w:rsid w:val="00C707A2"/>
    <w:rsid w:val="00C7751A"/>
    <w:rsid w:val="00C77F70"/>
    <w:rsid w:val="00C81DFB"/>
    <w:rsid w:val="00C81FF0"/>
    <w:rsid w:val="00C85DAB"/>
    <w:rsid w:val="00C8704E"/>
    <w:rsid w:val="00C87C98"/>
    <w:rsid w:val="00C92BA0"/>
    <w:rsid w:val="00C945B5"/>
    <w:rsid w:val="00CA1C08"/>
    <w:rsid w:val="00CA27DF"/>
    <w:rsid w:val="00CA286A"/>
    <w:rsid w:val="00CB1841"/>
    <w:rsid w:val="00CB1B96"/>
    <w:rsid w:val="00CB273C"/>
    <w:rsid w:val="00CB313A"/>
    <w:rsid w:val="00CB62CE"/>
    <w:rsid w:val="00CB722C"/>
    <w:rsid w:val="00CC02C0"/>
    <w:rsid w:val="00CC035D"/>
    <w:rsid w:val="00CC264A"/>
    <w:rsid w:val="00CC3222"/>
    <w:rsid w:val="00CC4EC2"/>
    <w:rsid w:val="00CC6B91"/>
    <w:rsid w:val="00CC78E4"/>
    <w:rsid w:val="00CD1673"/>
    <w:rsid w:val="00CD49C0"/>
    <w:rsid w:val="00CD4AA3"/>
    <w:rsid w:val="00CD57D1"/>
    <w:rsid w:val="00CD5AF8"/>
    <w:rsid w:val="00CD69B0"/>
    <w:rsid w:val="00CE180E"/>
    <w:rsid w:val="00CE399A"/>
    <w:rsid w:val="00CE43FE"/>
    <w:rsid w:val="00CE487B"/>
    <w:rsid w:val="00CE786A"/>
    <w:rsid w:val="00CF0445"/>
    <w:rsid w:val="00CF0CCF"/>
    <w:rsid w:val="00CF11AE"/>
    <w:rsid w:val="00CF4088"/>
    <w:rsid w:val="00CF4407"/>
    <w:rsid w:val="00CF46E5"/>
    <w:rsid w:val="00CF4C6E"/>
    <w:rsid w:val="00CF5882"/>
    <w:rsid w:val="00D02BFB"/>
    <w:rsid w:val="00D051CB"/>
    <w:rsid w:val="00D0565A"/>
    <w:rsid w:val="00D0681D"/>
    <w:rsid w:val="00D106D9"/>
    <w:rsid w:val="00D11C61"/>
    <w:rsid w:val="00D12405"/>
    <w:rsid w:val="00D12F0A"/>
    <w:rsid w:val="00D1359F"/>
    <w:rsid w:val="00D1385A"/>
    <w:rsid w:val="00D164B2"/>
    <w:rsid w:val="00D20243"/>
    <w:rsid w:val="00D2068A"/>
    <w:rsid w:val="00D20764"/>
    <w:rsid w:val="00D21764"/>
    <w:rsid w:val="00D23AED"/>
    <w:rsid w:val="00D23EAF"/>
    <w:rsid w:val="00D264F9"/>
    <w:rsid w:val="00D30705"/>
    <w:rsid w:val="00D31391"/>
    <w:rsid w:val="00D330C7"/>
    <w:rsid w:val="00D334E0"/>
    <w:rsid w:val="00D33A4F"/>
    <w:rsid w:val="00D35768"/>
    <w:rsid w:val="00D36486"/>
    <w:rsid w:val="00D373C2"/>
    <w:rsid w:val="00D37B21"/>
    <w:rsid w:val="00D41F40"/>
    <w:rsid w:val="00D42B68"/>
    <w:rsid w:val="00D43A01"/>
    <w:rsid w:val="00D44717"/>
    <w:rsid w:val="00D44EBB"/>
    <w:rsid w:val="00D453D9"/>
    <w:rsid w:val="00D521B8"/>
    <w:rsid w:val="00D52319"/>
    <w:rsid w:val="00D54DD4"/>
    <w:rsid w:val="00D56AD6"/>
    <w:rsid w:val="00D60D6A"/>
    <w:rsid w:val="00D6299F"/>
    <w:rsid w:val="00D632CF"/>
    <w:rsid w:val="00D63407"/>
    <w:rsid w:val="00D63875"/>
    <w:rsid w:val="00D70350"/>
    <w:rsid w:val="00D70ACA"/>
    <w:rsid w:val="00D713BF"/>
    <w:rsid w:val="00D73BE2"/>
    <w:rsid w:val="00D76373"/>
    <w:rsid w:val="00D77034"/>
    <w:rsid w:val="00D801F9"/>
    <w:rsid w:val="00D82DA8"/>
    <w:rsid w:val="00D85587"/>
    <w:rsid w:val="00D86E61"/>
    <w:rsid w:val="00D875C3"/>
    <w:rsid w:val="00D87743"/>
    <w:rsid w:val="00D907DD"/>
    <w:rsid w:val="00D90C85"/>
    <w:rsid w:val="00D92680"/>
    <w:rsid w:val="00D94AE4"/>
    <w:rsid w:val="00D95E8B"/>
    <w:rsid w:val="00D96A24"/>
    <w:rsid w:val="00DA2AF3"/>
    <w:rsid w:val="00DA332B"/>
    <w:rsid w:val="00DA465A"/>
    <w:rsid w:val="00DA6DF6"/>
    <w:rsid w:val="00DA6F60"/>
    <w:rsid w:val="00DA72FD"/>
    <w:rsid w:val="00DA73A7"/>
    <w:rsid w:val="00DA7708"/>
    <w:rsid w:val="00DB1BC1"/>
    <w:rsid w:val="00DB2AA0"/>
    <w:rsid w:val="00DB4100"/>
    <w:rsid w:val="00DB53CE"/>
    <w:rsid w:val="00DB57BD"/>
    <w:rsid w:val="00DB644A"/>
    <w:rsid w:val="00DB6B70"/>
    <w:rsid w:val="00DB71BF"/>
    <w:rsid w:val="00DC1C30"/>
    <w:rsid w:val="00DD12D7"/>
    <w:rsid w:val="00DD17AB"/>
    <w:rsid w:val="00DD1F9C"/>
    <w:rsid w:val="00DD2FFC"/>
    <w:rsid w:val="00DD6426"/>
    <w:rsid w:val="00DE2E03"/>
    <w:rsid w:val="00DE2E95"/>
    <w:rsid w:val="00DE332F"/>
    <w:rsid w:val="00DE45A5"/>
    <w:rsid w:val="00DE528E"/>
    <w:rsid w:val="00DE5706"/>
    <w:rsid w:val="00DE69C9"/>
    <w:rsid w:val="00DE6D57"/>
    <w:rsid w:val="00DE7AEF"/>
    <w:rsid w:val="00DF0D89"/>
    <w:rsid w:val="00DF1A0D"/>
    <w:rsid w:val="00DF2A78"/>
    <w:rsid w:val="00DF3D74"/>
    <w:rsid w:val="00E032FF"/>
    <w:rsid w:val="00E05281"/>
    <w:rsid w:val="00E06DCB"/>
    <w:rsid w:val="00E1037B"/>
    <w:rsid w:val="00E13575"/>
    <w:rsid w:val="00E137C9"/>
    <w:rsid w:val="00E13927"/>
    <w:rsid w:val="00E13B07"/>
    <w:rsid w:val="00E14BFF"/>
    <w:rsid w:val="00E158B6"/>
    <w:rsid w:val="00E2037E"/>
    <w:rsid w:val="00E20E80"/>
    <w:rsid w:val="00E22643"/>
    <w:rsid w:val="00E234F0"/>
    <w:rsid w:val="00E24125"/>
    <w:rsid w:val="00E2547C"/>
    <w:rsid w:val="00E262C7"/>
    <w:rsid w:val="00E30E21"/>
    <w:rsid w:val="00E356C5"/>
    <w:rsid w:val="00E358F6"/>
    <w:rsid w:val="00E360C9"/>
    <w:rsid w:val="00E3613F"/>
    <w:rsid w:val="00E36D49"/>
    <w:rsid w:val="00E40E02"/>
    <w:rsid w:val="00E45140"/>
    <w:rsid w:val="00E46A8D"/>
    <w:rsid w:val="00E475A9"/>
    <w:rsid w:val="00E517E5"/>
    <w:rsid w:val="00E54094"/>
    <w:rsid w:val="00E54B71"/>
    <w:rsid w:val="00E57635"/>
    <w:rsid w:val="00E623F3"/>
    <w:rsid w:val="00E633FA"/>
    <w:rsid w:val="00E67E35"/>
    <w:rsid w:val="00E71C1D"/>
    <w:rsid w:val="00E73D47"/>
    <w:rsid w:val="00E756FA"/>
    <w:rsid w:val="00E82BF4"/>
    <w:rsid w:val="00E82C4E"/>
    <w:rsid w:val="00E85736"/>
    <w:rsid w:val="00E91001"/>
    <w:rsid w:val="00E91EF0"/>
    <w:rsid w:val="00E931E5"/>
    <w:rsid w:val="00E93CDB"/>
    <w:rsid w:val="00E94B2A"/>
    <w:rsid w:val="00E96A35"/>
    <w:rsid w:val="00E96D47"/>
    <w:rsid w:val="00E970EF"/>
    <w:rsid w:val="00EA1706"/>
    <w:rsid w:val="00EA5CE7"/>
    <w:rsid w:val="00EA649E"/>
    <w:rsid w:val="00EB02EC"/>
    <w:rsid w:val="00EB5491"/>
    <w:rsid w:val="00EB74A2"/>
    <w:rsid w:val="00EB7FDE"/>
    <w:rsid w:val="00EC3A29"/>
    <w:rsid w:val="00EC4C91"/>
    <w:rsid w:val="00EC5E7B"/>
    <w:rsid w:val="00EC6CA2"/>
    <w:rsid w:val="00ED1659"/>
    <w:rsid w:val="00ED2AD5"/>
    <w:rsid w:val="00ED6981"/>
    <w:rsid w:val="00EE2675"/>
    <w:rsid w:val="00EE456A"/>
    <w:rsid w:val="00EF2CB1"/>
    <w:rsid w:val="00EF3D72"/>
    <w:rsid w:val="00EF4661"/>
    <w:rsid w:val="00EF5CE3"/>
    <w:rsid w:val="00EF7562"/>
    <w:rsid w:val="00F01B1A"/>
    <w:rsid w:val="00F01FBF"/>
    <w:rsid w:val="00F026F5"/>
    <w:rsid w:val="00F0287D"/>
    <w:rsid w:val="00F03617"/>
    <w:rsid w:val="00F07E0F"/>
    <w:rsid w:val="00F07FAF"/>
    <w:rsid w:val="00F14639"/>
    <w:rsid w:val="00F20194"/>
    <w:rsid w:val="00F21303"/>
    <w:rsid w:val="00F23ABA"/>
    <w:rsid w:val="00F24C04"/>
    <w:rsid w:val="00F3032E"/>
    <w:rsid w:val="00F307CA"/>
    <w:rsid w:val="00F31161"/>
    <w:rsid w:val="00F31241"/>
    <w:rsid w:val="00F40AC7"/>
    <w:rsid w:val="00F4227E"/>
    <w:rsid w:val="00F42FF0"/>
    <w:rsid w:val="00F459A6"/>
    <w:rsid w:val="00F51F42"/>
    <w:rsid w:val="00F527C4"/>
    <w:rsid w:val="00F569AD"/>
    <w:rsid w:val="00F603C1"/>
    <w:rsid w:val="00F61208"/>
    <w:rsid w:val="00F6144D"/>
    <w:rsid w:val="00F64ACD"/>
    <w:rsid w:val="00F66F10"/>
    <w:rsid w:val="00F6751B"/>
    <w:rsid w:val="00F71B81"/>
    <w:rsid w:val="00F7205E"/>
    <w:rsid w:val="00F72F5F"/>
    <w:rsid w:val="00F73C7D"/>
    <w:rsid w:val="00F75A39"/>
    <w:rsid w:val="00F7691D"/>
    <w:rsid w:val="00F76BEE"/>
    <w:rsid w:val="00F76C6F"/>
    <w:rsid w:val="00F76D35"/>
    <w:rsid w:val="00F77E9B"/>
    <w:rsid w:val="00F8012B"/>
    <w:rsid w:val="00F8489F"/>
    <w:rsid w:val="00F867EF"/>
    <w:rsid w:val="00F86AC9"/>
    <w:rsid w:val="00F86ECA"/>
    <w:rsid w:val="00F87DD4"/>
    <w:rsid w:val="00F971AE"/>
    <w:rsid w:val="00FA139C"/>
    <w:rsid w:val="00FA26E4"/>
    <w:rsid w:val="00FA2AF2"/>
    <w:rsid w:val="00FA36B9"/>
    <w:rsid w:val="00FA7B12"/>
    <w:rsid w:val="00FB1639"/>
    <w:rsid w:val="00FB18D0"/>
    <w:rsid w:val="00FB4BDC"/>
    <w:rsid w:val="00FC085A"/>
    <w:rsid w:val="00FC4A65"/>
    <w:rsid w:val="00FC5417"/>
    <w:rsid w:val="00FC56C3"/>
    <w:rsid w:val="00FC5AD8"/>
    <w:rsid w:val="00FC659B"/>
    <w:rsid w:val="00FC70AE"/>
    <w:rsid w:val="00FD0B56"/>
    <w:rsid w:val="00FD12C4"/>
    <w:rsid w:val="00FD1364"/>
    <w:rsid w:val="00FD253D"/>
    <w:rsid w:val="00FD25A5"/>
    <w:rsid w:val="00FD391F"/>
    <w:rsid w:val="00FD594B"/>
    <w:rsid w:val="00FD5C98"/>
    <w:rsid w:val="00FD6300"/>
    <w:rsid w:val="00FD7750"/>
    <w:rsid w:val="00FE2595"/>
    <w:rsid w:val="00FE5E3E"/>
    <w:rsid w:val="00FE63DE"/>
    <w:rsid w:val="00FE6AA7"/>
    <w:rsid w:val="00FF2D31"/>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qFormat/>
    <w:rsid w:val="00EC3A29"/>
    <w:pPr>
      <w:keepNext/>
      <w:outlineLvl w:val="7"/>
    </w:pPr>
    <w:rPr>
      <w:sz w:val="24"/>
      <w:szCs w:val="20"/>
    </w:rPr>
  </w:style>
  <w:style w:type="paragraph" w:styleId="9">
    <w:name w:val="heading 9"/>
    <w:basedOn w:val="a"/>
    <w:next w:val="a"/>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uiPriority w:val="99"/>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uiPriority w:val="99"/>
    <w:rsid w:val="00EC3A29"/>
    <w:pPr>
      <w:tabs>
        <w:tab w:val="center" w:pos="4153"/>
        <w:tab w:val="right" w:pos="8306"/>
      </w:tabs>
    </w:pPr>
  </w:style>
  <w:style w:type="character" w:customStyle="1" w:styleId="a6">
    <w:name w:val="Верхний колонтитул Знак"/>
    <w:basedOn w:val="a0"/>
    <w:link w:val="a5"/>
    <w:uiPriority w:val="99"/>
    <w:rsid w:val="00F01B1A"/>
    <w:rPr>
      <w:sz w:val="28"/>
      <w:szCs w:val="24"/>
    </w:rPr>
  </w:style>
  <w:style w:type="character" w:styleId="a7">
    <w:name w:val="page number"/>
    <w:basedOn w:val="a0"/>
    <w:rsid w:val="00EC3A29"/>
  </w:style>
  <w:style w:type="paragraph" w:styleId="20">
    <w:name w:val="Body Text 2"/>
    <w:basedOn w:val="a"/>
    <w:link w:val="21"/>
    <w:rsid w:val="00EC3A29"/>
    <w:rPr>
      <w:sz w:val="24"/>
      <w:szCs w:val="20"/>
    </w:rPr>
  </w:style>
  <w:style w:type="character" w:customStyle="1" w:styleId="21">
    <w:name w:val="Основной текст 2 Знак"/>
    <w:basedOn w:val="a0"/>
    <w:link w:val="20"/>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lang/>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rsid w:val="00967BF5"/>
    <w:rPr>
      <w:color w:val="0000FF"/>
      <w:u w:val="single"/>
    </w:rPr>
  </w:style>
  <w:style w:type="paragraph" w:styleId="af5">
    <w:name w:val="Title"/>
    <w:aliases w:val="Знак Знак Знак,Знак Знак, Знак Знак Знак"/>
    <w:basedOn w:val="a"/>
    <w:link w:val="af6"/>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rsid w:val="00967BF5"/>
    <w:rPr>
      <w:sz w:val="32"/>
      <w:szCs w:val="24"/>
    </w:rPr>
  </w:style>
  <w:style w:type="paragraph" w:customStyle="1" w:styleId="af7">
    <w:name w:val="Акты"/>
    <w:basedOn w:val="a"/>
    <w:link w:val="af8"/>
    <w:uiPriority w:val="99"/>
    <w:rsid w:val="00967BF5"/>
    <w:pPr>
      <w:ind w:firstLine="709"/>
      <w:jc w:val="both"/>
    </w:pPr>
    <w:rPr>
      <w:szCs w:val="28"/>
      <w:lang/>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2">
    <w:name w:val="Body Text Indent 2"/>
    <w:basedOn w:val="a"/>
    <w:link w:val="23"/>
    <w:uiPriority w:val="99"/>
    <w:rsid w:val="00815CFA"/>
    <w:pPr>
      <w:spacing w:after="120" w:line="480" w:lineRule="auto"/>
      <w:ind w:left="283"/>
    </w:pPr>
    <w:rPr>
      <w:sz w:val="20"/>
      <w:szCs w:val="20"/>
    </w:rPr>
  </w:style>
  <w:style w:type="character" w:customStyle="1" w:styleId="23">
    <w:name w:val="Основной текст с отступом 2 Знак"/>
    <w:basedOn w:val="a0"/>
    <w:link w:val="22"/>
    <w:uiPriority w:val="99"/>
    <w:rsid w:val="00815CFA"/>
  </w:style>
  <w:style w:type="character" w:styleId="afc">
    <w:name w:val="footnote reference"/>
    <w:aliases w:val="Знак сноски 1,Знак сноски-FN,Ciae niinee-FN,Referencia nota al pie"/>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4">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5">
    <w:name w:val="Основной текст (2)_"/>
    <w:basedOn w:val="a0"/>
    <w:link w:val="26"/>
    <w:rsid w:val="00013CEB"/>
    <w:rPr>
      <w:sz w:val="28"/>
      <w:szCs w:val="28"/>
      <w:shd w:val="clear" w:color="auto" w:fill="FFFFFF"/>
    </w:rPr>
  </w:style>
  <w:style w:type="paragraph" w:customStyle="1" w:styleId="26">
    <w:name w:val="Основной текст (2)"/>
    <w:basedOn w:val="a"/>
    <w:link w:val="25"/>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7">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8">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9">
    <w:name w:val="Стиль2"/>
    <w:basedOn w:val="a"/>
    <w:link w:val="2a"/>
    <w:rsid w:val="00AF2B6D"/>
    <w:pPr>
      <w:ind w:firstLine="720"/>
      <w:jc w:val="both"/>
    </w:pPr>
    <w:rPr>
      <w:sz w:val="26"/>
      <w:szCs w:val="26"/>
      <w:lang/>
    </w:rPr>
  </w:style>
  <w:style w:type="character" w:customStyle="1" w:styleId="2a">
    <w:name w:val="Стиль2 Знак"/>
    <w:link w:val="29"/>
    <w:rsid w:val="00AF2B6D"/>
    <w:rPr>
      <w:sz w:val="26"/>
      <w:szCs w:val="26"/>
    </w:rPr>
  </w:style>
  <w:style w:type="character" w:customStyle="1" w:styleId="hl">
    <w:name w:val="hl"/>
    <w:basedOn w:val="a0"/>
    <w:uiPriority w:val="99"/>
    <w:rsid w:val="00AF2B6D"/>
    <w:rPr>
      <w:rFonts w:cs="Times New Roman"/>
    </w:rPr>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A3D62C3E30AFF8CC82A3E5A52289742FCC8033CFC4A7C130831A273FEFB138D152E4E3A592q8g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1044;&#1086;&#1082;&#1091;&#1084;&#1077;&#1085;&#1090;&#1099;\&#1086;&#1090;&#1095;&#1077;&#1090;&#1099;%20&#1086;%20&#1088;&#1072;&#1073;&#1086;&#1090;&#1077;%20&#1057;&#1055;\&#1086;&#1090;&#1095;&#1077;&#1090;&#1099;%20&#1079;&#1072;%20&#1075;&#1086;&#1076;\&#1076;&#1080;&#1072;&#1075;&#1088;&#1072;&#1084;&#1084;&#1099;%20&#1082;%20&#1086;&#1090;&#1095;&#1077;&#1090;&#109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44;&#1086;&#1082;&#1091;&#1084;&#1077;&#1085;&#1090;&#1099;\&#1086;&#1090;&#1095;&#1077;&#1090;&#1099;%20&#1086;%20&#1088;&#1072;&#1073;&#1086;&#1090;&#1077;%20&#1057;&#1055;\&#1086;&#1090;&#1095;&#1077;&#1090;&#1099;%20&#1079;&#1072;%20&#1075;&#1086;&#1076;\&#1076;&#1080;&#1072;&#1075;&#1088;&#1072;&#1084;&#1084;&#1099;%20&#1082;%20&#1086;&#1090;&#1095;&#1077;&#1090;&#109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1044;&#1086;&#1082;&#1091;&#1084;&#1077;&#1085;&#1090;&#1099;\&#1086;&#1090;&#1095;&#1077;&#1090;&#1099;%20&#1086;%20&#1088;&#1072;&#1073;&#1086;&#1090;&#1077;%20&#1057;&#1055;\&#1086;&#1090;&#1095;&#1077;&#1090;&#1099;%20&#1079;&#1072;%20&#1075;&#1086;&#1076;\&#1076;&#1080;&#1072;&#1075;&#1088;&#1072;&#1084;&#1084;&#1099;%20&#1082;%20&#1086;&#1090;&#1095;&#1077;&#1090;&#109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34951881014848"/>
          <c:y val="4.214129483814541E-2"/>
          <c:w val="0.60920603674540685"/>
          <c:h val="0.79822506561679785"/>
        </c:manualLayout>
      </c:layout>
      <c:lineChart>
        <c:grouping val="stacked"/>
        <c:ser>
          <c:idx val="0"/>
          <c:order val="0"/>
          <c:tx>
            <c:strRef>
              <c:f>Лист1!$A$2</c:f>
              <c:strCache>
                <c:ptCount val="1"/>
                <c:pt idx="0">
                  <c:v>контрольные мероприятия,ед</c:v>
                </c:pt>
              </c:strCache>
            </c:strRef>
          </c:tx>
          <c:dLbls>
            <c:dLbl>
              <c:idx val="0"/>
              <c:layout>
                <c:manualLayout>
                  <c:x val="-2.7777777777777877E-2"/>
                  <c:y val="-4.1666666666666671E-2"/>
                </c:manualLayout>
              </c:layout>
              <c:showVal val="1"/>
            </c:dLbl>
            <c:dLbl>
              <c:idx val="1"/>
              <c:layout>
                <c:manualLayout>
                  <c:x val="-3.0555555555555582E-2"/>
                  <c:y val="-6.0185185185185265E-2"/>
                </c:manualLayout>
              </c:layout>
              <c:showVal val="1"/>
            </c:dLbl>
            <c:dLbl>
              <c:idx val="2"/>
              <c:layout>
                <c:manualLayout>
                  <c:x val="-4.1666666666666671E-2"/>
                  <c:y val="-5.092592592592593E-2"/>
                </c:manualLayout>
              </c:layout>
              <c:showVal val="1"/>
            </c:dLbl>
            <c:dLbl>
              <c:idx val="3"/>
              <c:layout>
                <c:manualLayout>
                  <c:x val="-4.1666666666666671E-2"/>
                  <c:y val="-4.1666666666666671E-2"/>
                </c:manualLayout>
              </c:layout>
              <c:showVal val="1"/>
            </c:dLbl>
            <c:dLbl>
              <c:idx val="4"/>
              <c:layout>
                <c:manualLayout>
                  <c:x val="-3.888888888888889E-2"/>
                  <c:y val="-5.092592592592593E-2"/>
                </c:manualLayout>
              </c:layout>
              <c:showVal val="1"/>
            </c:dLbl>
            <c:showVal val="1"/>
          </c:dLbls>
          <c:cat>
            <c:numRef>
              <c:f>Лист1!$B$1:$F$1</c:f>
              <c:numCache>
                <c:formatCode>General</c:formatCode>
                <c:ptCount val="5"/>
                <c:pt idx="0">
                  <c:v>2014</c:v>
                </c:pt>
                <c:pt idx="1">
                  <c:v>2015</c:v>
                </c:pt>
                <c:pt idx="2">
                  <c:v>2016</c:v>
                </c:pt>
                <c:pt idx="3">
                  <c:v>2017</c:v>
                </c:pt>
                <c:pt idx="4">
                  <c:v>2018</c:v>
                </c:pt>
              </c:numCache>
            </c:numRef>
          </c:cat>
          <c:val>
            <c:numRef>
              <c:f>Лист1!$B$2:$F$2</c:f>
              <c:numCache>
                <c:formatCode>General</c:formatCode>
                <c:ptCount val="5"/>
                <c:pt idx="0">
                  <c:v>7</c:v>
                </c:pt>
                <c:pt idx="1">
                  <c:v>4</c:v>
                </c:pt>
                <c:pt idx="2">
                  <c:v>5</c:v>
                </c:pt>
                <c:pt idx="3">
                  <c:v>5</c:v>
                </c:pt>
                <c:pt idx="4">
                  <c:v>5</c:v>
                </c:pt>
              </c:numCache>
            </c:numRef>
          </c:val>
        </c:ser>
        <c:ser>
          <c:idx val="1"/>
          <c:order val="1"/>
          <c:tx>
            <c:strRef>
              <c:f>Лист1!$A$3</c:f>
              <c:strCache>
                <c:ptCount val="1"/>
                <c:pt idx="0">
                  <c:v>экспертно- аналитические мероприятия, ед</c:v>
                </c:pt>
              </c:strCache>
            </c:strRef>
          </c:tx>
          <c:dLbls>
            <c:dLbl>
              <c:idx val="0"/>
              <c:layout>
                <c:manualLayout>
                  <c:x val="-4.1666666666666671E-2"/>
                  <c:y val="-6.481481481481495E-2"/>
                </c:manualLayout>
              </c:layout>
              <c:showVal val="1"/>
            </c:dLbl>
            <c:dLbl>
              <c:idx val="3"/>
              <c:layout>
                <c:manualLayout>
                  <c:x val="-3.0555555555555582E-2"/>
                  <c:y val="-5.5555555555555469E-2"/>
                </c:manualLayout>
              </c:layout>
              <c:showVal val="1"/>
            </c:dLbl>
            <c:dLbl>
              <c:idx val="4"/>
              <c:layout>
                <c:manualLayout>
                  <c:x val="-4.1666666666666671E-2"/>
                  <c:y val="-5.092592592592593E-2"/>
                </c:manualLayout>
              </c:layout>
              <c:showVal val="1"/>
            </c:dLbl>
            <c:showVal val="1"/>
          </c:dLbls>
          <c:cat>
            <c:numRef>
              <c:f>Лист1!$B$1:$F$1</c:f>
              <c:numCache>
                <c:formatCode>General</c:formatCode>
                <c:ptCount val="5"/>
                <c:pt idx="0">
                  <c:v>2014</c:v>
                </c:pt>
                <c:pt idx="1">
                  <c:v>2015</c:v>
                </c:pt>
                <c:pt idx="2">
                  <c:v>2016</c:v>
                </c:pt>
                <c:pt idx="3">
                  <c:v>2017</c:v>
                </c:pt>
                <c:pt idx="4">
                  <c:v>2018</c:v>
                </c:pt>
              </c:numCache>
            </c:numRef>
          </c:cat>
          <c:val>
            <c:numRef>
              <c:f>Лист1!$B$3:$F$3</c:f>
              <c:numCache>
                <c:formatCode>General</c:formatCode>
                <c:ptCount val="5"/>
                <c:pt idx="0">
                  <c:v>111</c:v>
                </c:pt>
                <c:pt idx="1">
                  <c:v>107</c:v>
                </c:pt>
                <c:pt idx="2">
                  <c:v>126</c:v>
                </c:pt>
                <c:pt idx="3">
                  <c:v>160</c:v>
                </c:pt>
                <c:pt idx="4">
                  <c:v>144</c:v>
                </c:pt>
              </c:numCache>
            </c:numRef>
          </c:val>
        </c:ser>
        <c:marker val="1"/>
        <c:axId val="130016768"/>
        <c:axId val="130018304"/>
      </c:lineChart>
      <c:catAx>
        <c:axId val="130016768"/>
        <c:scaling>
          <c:orientation val="minMax"/>
        </c:scaling>
        <c:axPos val="b"/>
        <c:numFmt formatCode="General" sourceLinked="1"/>
        <c:tickLblPos val="nextTo"/>
        <c:crossAx val="130018304"/>
        <c:crosses val="autoZero"/>
        <c:auto val="1"/>
        <c:lblAlgn val="ctr"/>
        <c:lblOffset val="100"/>
      </c:catAx>
      <c:valAx>
        <c:axId val="130018304"/>
        <c:scaling>
          <c:orientation val="minMax"/>
        </c:scaling>
        <c:axPos val="l"/>
        <c:majorGridlines/>
        <c:numFmt formatCode="General" sourceLinked="1"/>
        <c:tickLblPos val="nextTo"/>
        <c:crossAx val="1300167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sideWall>
      <c:spPr>
        <a:noFill/>
        <a:ln w="25400">
          <a:noFill/>
        </a:ln>
      </c:spPr>
    </c:sideWall>
    <c:backWall>
      <c:spPr>
        <a:noFill/>
        <a:ln w="25400">
          <a:noFill/>
        </a:ln>
      </c:spPr>
    </c:backWall>
    <c:plotArea>
      <c:layout/>
      <c:bar3DChart>
        <c:barDir val="col"/>
        <c:grouping val="standard"/>
        <c:ser>
          <c:idx val="0"/>
          <c:order val="0"/>
          <c:dLbls>
            <c:showVal val="1"/>
          </c:dLbls>
          <c:cat>
            <c:strRef>
              <c:f>Лист3!$A$2:$A$4</c:f>
              <c:strCache>
                <c:ptCount val="3"/>
                <c:pt idx="0">
                  <c:v> Нарушения ведения бухгалтерского учета, составления и представления бухгалтерской (финансовой) отчетности</c:v>
                </c:pt>
                <c:pt idx="1">
                  <c:v> Нарушения в сфере управления и распоряжения государственной (муниципальной) собственностью</c:v>
                </c:pt>
                <c:pt idx="2">
                  <c:v>Нарушения при осуществлении государственных (муниципальных) закупок и закупок отдельными видами юридических лиц</c:v>
                </c:pt>
              </c:strCache>
            </c:strRef>
          </c:cat>
          <c:val>
            <c:numRef>
              <c:f>Лист3!$B$2:$B$4</c:f>
              <c:numCache>
                <c:formatCode>General</c:formatCode>
                <c:ptCount val="3"/>
                <c:pt idx="0">
                  <c:v>4</c:v>
                </c:pt>
                <c:pt idx="1">
                  <c:v>0</c:v>
                </c:pt>
                <c:pt idx="2">
                  <c:v>5</c:v>
                </c:pt>
              </c:numCache>
            </c:numRef>
          </c:val>
        </c:ser>
        <c:dLbls>
          <c:showVal val="1"/>
        </c:dLbls>
        <c:shape val="cylinder"/>
        <c:axId val="130116608"/>
        <c:axId val="130138880"/>
        <c:axId val="130134016"/>
      </c:bar3DChart>
      <c:catAx>
        <c:axId val="130116608"/>
        <c:scaling>
          <c:orientation val="minMax"/>
        </c:scaling>
        <c:axPos val="b"/>
        <c:numFmt formatCode="General" sourceLinked="1"/>
        <c:majorTickMark val="none"/>
        <c:tickLblPos val="nextTo"/>
        <c:crossAx val="130138880"/>
        <c:crosses val="autoZero"/>
        <c:auto val="1"/>
        <c:lblAlgn val="ctr"/>
        <c:lblOffset val="100"/>
      </c:catAx>
      <c:valAx>
        <c:axId val="130138880"/>
        <c:scaling>
          <c:orientation val="minMax"/>
        </c:scaling>
        <c:delete val="1"/>
        <c:axPos val="l"/>
        <c:numFmt formatCode="General" sourceLinked="1"/>
        <c:tickLblPos val="none"/>
        <c:crossAx val="130116608"/>
        <c:crosses val="autoZero"/>
        <c:crossBetween val="between"/>
      </c:valAx>
      <c:serAx>
        <c:axId val="130134016"/>
        <c:scaling>
          <c:orientation val="minMax"/>
        </c:scaling>
        <c:delete val="1"/>
        <c:axPos val="b"/>
        <c:tickLblPos val="none"/>
        <c:crossAx val="130138880"/>
        <c:crosses val="autoZero"/>
      </c:serAx>
      <c:spPr>
        <a:noFill/>
        <a:ln w="25400">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plotArea>
      <c:layout/>
      <c:barChart>
        <c:barDir val="col"/>
        <c:grouping val="stacked"/>
        <c:ser>
          <c:idx val="0"/>
          <c:order val="0"/>
          <c:tx>
            <c:strRef>
              <c:f>Лист2!$B$5</c:f>
              <c:strCache>
                <c:ptCount val="1"/>
                <c:pt idx="0">
                  <c:v>сумма неэффективного использования </c:v>
                </c:pt>
              </c:strCache>
            </c:strRef>
          </c:tx>
          <c:dLbls>
            <c:dLbl>
              <c:idx val="0"/>
              <c:layout>
                <c:manualLayout>
                  <c:x val="-5.5555555555555558E-3"/>
                  <c:y val="-0.19907407407407413"/>
                </c:manualLayout>
              </c:layout>
              <c:showVal val="1"/>
            </c:dLbl>
            <c:dLbl>
              <c:idx val="1"/>
              <c:layout>
                <c:manualLayout>
                  <c:x val="2.7777777777778017E-3"/>
                  <c:y val="-0.12037037037037036"/>
                </c:manualLayout>
              </c:layout>
              <c:showVal val="1"/>
            </c:dLbl>
            <c:dLbl>
              <c:idx val="2"/>
              <c:layout>
                <c:manualLayout>
                  <c:x val="2.777777777777901E-3"/>
                  <c:y val="-7.8703703703703734E-2"/>
                </c:manualLayout>
              </c:layout>
              <c:showVal val="1"/>
            </c:dLbl>
            <c:showVal val="1"/>
          </c:dLbls>
          <c:cat>
            <c:numRef>
              <c:f>Лист2!$C$4:$E$4</c:f>
              <c:numCache>
                <c:formatCode>General</c:formatCode>
                <c:ptCount val="3"/>
                <c:pt idx="0">
                  <c:v>2016</c:v>
                </c:pt>
                <c:pt idx="1">
                  <c:v>2017</c:v>
                </c:pt>
                <c:pt idx="2">
                  <c:v>2018</c:v>
                </c:pt>
              </c:numCache>
            </c:numRef>
          </c:cat>
          <c:val>
            <c:numRef>
              <c:f>Лист2!$C$5:$E$5</c:f>
              <c:numCache>
                <c:formatCode>General</c:formatCode>
                <c:ptCount val="3"/>
                <c:pt idx="0">
                  <c:v>915.5</c:v>
                </c:pt>
                <c:pt idx="1">
                  <c:v>644.70000000000005</c:v>
                </c:pt>
                <c:pt idx="2">
                  <c:v>478.6</c:v>
                </c:pt>
              </c:numCache>
            </c:numRef>
          </c:val>
        </c:ser>
        <c:gapWidth val="75"/>
        <c:overlap val="100"/>
        <c:axId val="130177664"/>
        <c:axId val="130195840"/>
      </c:barChart>
      <c:lineChart>
        <c:grouping val="standard"/>
        <c:ser>
          <c:idx val="1"/>
          <c:order val="1"/>
          <c:tx>
            <c:strRef>
              <c:f>Лист2!$B$6</c:f>
              <c:strCache>
                <c:ptCount val="1"/>
                <c:pt idx="0">
                  <c:v>темп роста (%)</c:v>
                </c:pt>
              </c:strCache>
            </c:strRef>
          </c:tx>
          <c:dLbls>
            <c:dLbl>
              <c:idx val="0"/>
              <c:tx>
                <c:rich>
                  <a:bodyPr/>
                  <a:lstStyle/>
                  <a:p>
                    <a:r>
                      <a:rPr lang="en-US"/>
                      <a:t>403,8</a:t>
                    </a:r>
                    <a:r>
                      <a:rPr lang="ru-RU"/>
                      <a:t>%</a:t>
                    </a:r>
                    <a:endParaRPr lang="en-US"/>
                  </a:p>
                </c:rich>
              </c:tx>
              <c:showVal val="1"/>
            </c:dLbl>
            <c:dLbl>
              <c:idx val="1"/>
              <c:tx>
                <c:rich>
                  <a:bodyPr/>
                  <a:lstStyle/>
                  <a:p>
                    <a:r>
                      <a:rPr lang="en-US"/>
                      <a:t>70,4</a:t>
                    </a:r>
                    <a:r>
                      <a:rPr lang="ru-RU"/>
                      <a:t>%</a:t>
                    </a:r>
                    <a:endParaRPr lang="en-US"/>
                  </a:p>
                </c:rich>
              </c:tx>
              <c:showVal val="1"/>
            </c:dLbl>
            <c:dLbl>
              <c:idx val="2"/>
              <c:tx>
                <c:rich>
                  <a:bodyPr/>
                  <a:lstStyle/>
                  <a:p>
                    <a:r>
                      <a:rPr lang="en-US"/>
                      <a:t>74,2</a:t>
                    </a:r>
                    <a:r>
                      <a:rPr lang="ru-RU"/>
                      <a:t>%</a:t>
                    </a:r>
                    <a:endParaRPr lang="en-US"/>
                  </a:p>
                </c:rich>
              </c:tx>
              <c:showVal val="1"/>
            </c:dLbl>
            <c:showVal val="1"/>
          </c:dLbls>
          <c:cat>
            <c:numRef>
              <c:f>Лист2!$C$4:$E$4</c:f>
              <c:numCache>
                <c:formatCode>General</c:formatCode>
                <c:ptCount val="3"/>
                <c:pt idx="0">
                  <c:v>2016</c:v>
                </c:pt>
                <c:pt idx="1">
                  <c:v>2017</c:v>
                </c:pt>
                <c:pt idx="2">
                  <c:v>2018</c:v>
                </c:pt>
              </c:numCache>
            </c:numRef>
          </c:cat>
          <c:val>
            <c:numRef>
              <c:f>Лист2!$C$6:$E$6</c:f>
              <c:numCache>
                <c:formatCode>General</c:formatCode>
                <c:ptCount val="3"/>
                <c:pt idx="0">
                  <c:v>403.8</c:v>
                </c:pt>
                <c:pt idx="1">
                  <c:v>70.400000000000006</c:v>
                </c:pt>
                <c:pt idx="2">
                  <c:v>74.2</c:v>
                </c:pt>
              </c:numCache>
            </c:numRef>
          </c:val>
        </c:ser>
        <c:marker val="1"/>
        <c:axId val="130177664"/>
        <c:axId val="130195840"/>
      </c:lineChart>
      <c:catAx>
        <c:axId val="130177664"/>
        <c:scaling>
          <c:orientation val="minMax"/>
        </c:scaling>
        <c:axPos val="b"/>
        <c:numFmt formatCode="General" sourceLinked="1"/>
        <c:majorTickMark val="none"/>
        <c:tickLblPos val="nextTo"/>
        <c:crossAx val="130195840"/>
        <c:crosses val="autoZero"/>
        <c:auto val="1"/>
        <c:lblAlgn val="ctr"/>
        <c:lblOffset val="100"/>
      </c:catAx>
      <c:valAx>
        <c:axId val="130195840"/>
        <c:scaling>
          <c:orientation val="minMax"/>
        </c:scaling>
        <c:axPos val="l"/>
        <c:majorGridlines/>
        <c:numFmt formatCode="General" sourceLinked="1"/>
        <c:majorTickMark val="none"/>
        <c:tickLblPos val="nextTo"/>
        <c:crossAx val="130177664"/>
        <c:crosses val="autoZero"/>
        <c:crossBetween val="between"/>
      </c:valAx>
    </c:plotArea>
    <c:legend>
      <c:legendPos val="b"/>
      <c:layout>
        <c:manualLayout>
          <c:xMode val="edge"/>
          <c:yMode val="edge"/>
          <c:x val="0.05"/>
          <c:y val="0.87924577136191362"/>
          <c:w val="0.9"/>
          <c:h val="8.3717191601050026E-2"/>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AB84F-F8AB-4145-9D54-A78640A1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3611</Words>
  <Characters>20586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24149</CharactersWithSpaces>
  <SharedDoc>false</SharedDoc>
  <HLinks>
    <vt:vector size="6" baseType="variant">
      <vt:variant>
        <vt:i4>3276896</vt:i4>
      </vt:variant>
      <vt:variant>
        <vt:i4>0</vt:i4>
      </vt:variant>
      <vt:variant>
        <vt:i4>0</vt:i4>
      </vt:variant>
      <vt:variant>
        <vt:i4>5</vt:i4>
      </vt:variant>
      <vt:variant>
        <vt:lpwstr>consultantplus://offline/ref=E3A3D62C3E30AFF8CC82A3E5A52289742FCC8033CFC4A7C130831A273FEFB138D152E4E3A592q8g7H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2</cp:revision>
  <cp:lastPrinted>2018-12-11T13:41:00Z</cp:lastPrinted>
  <dcterms:created xsi:type="dcterms:W3CDTF">2019-01-09T13:27:00Z</dcterms:created>
  <dcterms:modified xsi:type="dcterms:W3CDTF">2019-01-09T13:27:00Z</dcterms:modified>
</cp:coreProperties>
</file>